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outlineLvl w:val="0"/>
        <w:rPr>
          <w:rFonts w:ascii="方正小标宋简体" w:hAnsi="宋体" w:eastAsia="方正小标宋简体"/>
          <w:sz w:val="72"/>
          <w:szCs w:val="72"/>
        </w:rPr>
      </w:pPr>
      <w:bookmarkStart w:id="0" w:name="_Toc15396597"/>
      <w:bookmarkStart w:id="1" w:name="_Toc15396475"/>
      <w:bookmarkStart w:id="2" w:name="_Toc15378441"/>
      <w:bookmarkStart w:id="3" w:name="_Toc15377425"/>
      <w:bookmarkStart w:id="4" w:name="_Toc15377193"/>
      <w:bookmarkStart w:id="5" w:name="_Toc15306267"/>
    </w:p>
    <w:p>
      <w:pPr>
        <w:spacing w:line="576" w:lineRule="exact"/>
        <w:outlineLvl w:val="0"/>
        <w:rPr>
          <w:rFonts w:ascii="方正小标宋简体" w:hAnsi="宋体" w:eastAsia="方正小标宋简体"/>
          <w:sz w:val="72"/>
          <w:szCs w:val="72"/>
        </w:rPr>
      </w:pPr>
    </w:p>
    <w:p>
      <w:pPr>
        <w:spacing w:line="576" w:lineRule="exact"/>
        <w:outlineLvl w:val="0"/>
        <w:rPr>
          <w:rFonts w:ascii="方正小标宋简体" w:hAnsi="宋体" w:eastAsia="方正小标宋简体"/>
          <w:sz w:val="72"/>
          <w:szCs w:val="72"/>
        </w:rPr>
      </w:pPr>
    </w:p>
    <w:p>
      <w:pPr>
        <w:spacing w:line="576" w:lineRule="exact"/>
        <w:outlineLvl w:val="0"/>
        <w:rPr>
          <w:rFonts w:ascii="方正小标宋简体" w:hAnsi="宋体" w:eastAsia="方正小标宋简体"/>
          <w:sz w:val="72"/>
          <w:szCs w:val="72"/>
        </w:rPr>
      </w:pPr>
    </w:p>
    <w:p>
      <w:pPr>
        <w:adjustRightInd w:val="0"/>
        <w:snapToGrid w:val="0"/>
        <w:spacing w:line="1400" w:lineRule="exact"/>
        <w:jc w:val="center"/>
        <w:outlineLvl w:val="0"/>
        <w:rPr>
          <w:rFonts w:ascii="方正小标宋简体" w:hAnsi="方正小标宋简体" w:eastAsia="方正小标宋简体" w:cs="方正小标宋简体"/>
          <w:sz w:val="72"/>
          <w:szCs w:val="72"/>
        </w:rPr>
      </w:pPr>
      <w:bookmarkStart w:id="72" w:name="_GoBack"/>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1200" w:lineRule="exact"/>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77194"/>
      <w:bookmarkStart w:id="9" w:name="_Toc15377426"/>
      <w:bookmarkStart w:id="10" w:name="_Toc15378442"/>
      <w:r>
        <w:rPr>
          <w:rFonts w:hint="eastAsia" w:ascii="方正小标宋简体" w:hAnsi="方正小标宋简体" w:eastAsia="方正小标宋简体" w:cs="方正小标宋简体"/>
          <w:sz w:val="72"/>
          <w:szCs w:val="72"/>
        </w:rPr>
        <w:t>广元</w:t>
      </w:r>
      <w:bookmarkEnd w:id="5"/>
      <w:bookmarkStart w:id="11" w:name="_Toc15306268"/>
      <w:r>
        <w:rPr>
          <w:rFonts w:hint="eastAsia" w:ascii="方正小标宋简体" w:hAnsi="方正小标宋简体" w:eastAsia="方正小标宋简体" w:cs="方正小标宋简体"/>
          <w:sz w:val="72"/>
          <w:szCs w:val="72"/>
        </w:rPr>
        <w:t>经济技术开发区</w:t>
      </w:r>
    </w:p>
    <w:p>
      <w:pPr>
        <w:adjustRightInd w:val="0"/>
        <w:snapToGrid w:val="0"/>
        <w:spacing w:line="1200" w:lineRule="exact"/>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石龙办事处部门决算</w:t>
      </w:r>
      <w:bookmarkEnd w:id="6"/>
      <w:bookmarkEnd w:id="7"/>
      <w:bookmarkEnd w:id="8"/>
      <w:bookmarkEnd w:id="9"/>
      <w:bookmarkEnd w:id="10"/>
      <w:bookmarkEnd w:id="11"/>
    </w:p>
    <w:p>
      <w:pPr>
        <w:pStyle w:val="2"/>
        <w:spacing w:before="93"/>
        <w:rPr>
          <w:rFonts w:eastAsia="方正小标宋简体"/>
        </w:rPr>
      </w:pPr>
      <w:r>
        <w:rPr>
          <w:rFonts w:hint="eastAsia" w:ascii="方正小标宋简体" w:hAnsi="方正小标宋简体" w:eastAsia="方正小标宋简体" w:cs="方正小标宋简体"/>
          <w:sz w:val="72"/>
          <w:szCs w:val="72"/>
        </w:rPr>
        <w:t xml:space="preserve">        编制说明</w:t>
      </w:r>
      <w:bookmarkEnd w:id="72"/>
    </w:p>
    <w:p>
      <w:pPr>
        <w:widowControl/>
        <w:spacing w:line="1400" w:lineRule="exact"/>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2"/>
        <w:spacing w:line="576" w:lineRule="exact"/>
      </w:pPr>
      <w:r>
        <w:rPr>
          <w:rFonts w:hint="eastAsia"/>
        </w:rPr>
        <w:t>公开时间：2022年9月27日</w:t>
      </w:r>
    </w:p>
    <w:p>
      <w:pPr>
        <w:pStyle w:val="12"/>
        <w:spacing w:line="576" w:lineRule="exact"/>
        <w:jc w:val="both"/>
        <w:rPr>
          <w:rFonts w:cstheme="minorBidi"/>
          <w:u w:color="FFFFFF" w:themeColor="background1"/>
        </w:rPr>
      </w:pPr>
      <w:r>
        <w:fldChar w:fldCharType="begin"/>
      </w:r>
      <w:r>
        <w:instrText xml:space="preserve"> HYPERLINK \l "_Toc15396599" </w:instrText>
      </w:r>
      <w:r>
        <w:fldChar w:fldCharType="separate"/>
      </w:r>
      <w:r>
        <w:rPr>
          <w:rFonts w:hint="eastAsia"/>
        </w:rPr>
        <w:t>第一部分部门概况</w:t>
      </w:r>
      <w:r>
        <w:rPr>
          <w:u w:color="FFFFFF" w:themeColor="background1"/>
        </w:rPr>
        <w:tab/>
      </w:r>
      <w:r>
        <w:rPr>
          <w:rFonts w:hint="eastAsia"/>
          <w:u w:color="FFFFFF" w:themeColor="background1"/>
        </w:rPr>
        <w:t>4</w:t>
      </w:r>
      <w:r>
        <w:rPr>
          <w:rFonts w:hint="eastAsia"/>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"_Toc15396600" </w:instrText>
      </w:r>
      <w:r>
        <w:fldChar w:fldCharType="separate"/>
      </w:r>
      <w:r>
        <w:rPr>
          <w:rFonts w:hint="eastAsia" w:ascii="仿宋" w:hAnsi="仿宋" w:eastAsia="仿宋"/>
          <w:sz w:val="28"/>
          <w:szCs w:val="28"/>
        </w:rPr>
        <w:t>一、基本职能及主要工作</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4</w:t>
      </w:r>
      <w:r>
        <w:rPr>
          <w:rFonts w:hint="eastAsia" w:ascii="仿宋" w:hAnsi="仿宋" w:eastAsia="仿宋"/>
          <w:sz w:val="28"/>
          <w:szCs w:val="28"/>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"_Toc15396601" </w:instrText>
      </w:r>
      <w:r>
        <w:fldChar w:fldCharType="separate"/>
      </w:r>
      <w:r>
        <w:rPr>
          <w:rFonts w:hint="eastAsia" w:ascii="仿宋" w:hAnsi="仿宋" w:eastAsia="仿宋"/>
          <w:sz w:val="28"/>
          <w:szCs w:val="28"/>
        </w:rPr>
        <w:t>二、机构设置</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7</w:t>
      </w:r>
      <w:r>
        <w:rPr>
          <w:rFonts w:hint="eastAsia" w:ascii="仿宋" w:hAnsi="仿宋" w:eastAsia="仿宋"/>
          <w:sz w:val="28"/>
          <w:szCs w:val="28"/>
          <w:u w:color="FFFFFF" w:themeColor="background1"/>
        </w:rPr>
        <w:fldChar w:fldCharType="end"/>
      </w:r>
    </w:p>
    <w:p>
      <w:pPr>
        <w:pStyle w:val="12"/>
        <w:spacing w:line="576" w:lineRule="exact"/>
        <w:jc w:val="both"/>
        <w:rPr>
          <w:u w:color="FFFFFF" w:themeColor="background1"/>
        </w:rPr>
      </w:pPr>
      <w:r>
        <w:fldChar w:fldCharType="begin"/>
      </w:r>
      <w:r>
        <w:instrText xml:space="preserve"> HYPERLINK \l "_Toc15396602" </w:instrText>
      </w:r>
      <w:r>
        <w:fldChar w:fldCharType="separate"/>
      </w:r>
      <w:r>
        <w:rPr>
          <w:rFonts w:hint="eastAsia"/>
        </w:rPr>
        <w:t>第二部分 2020年度部门决算情况说明</w:t>
      </w:r>
      <w:r>
        <w:rPr>
          <w:u w:color="FFFFFF" w:themeColor="background1"/>
        </w:rPr>
        <w:tab/>
      </w:r>
      <w:r>
        <w:rPr>
          <w:rFonts w:hint="eastAsia"/>
          <w:u w:color="FFFFFF" w:themeColor="background1"/>
        </w:rPr>
        <w:t>8</w:t>
      </w:r>
      <w:r>
        <w:rPr>
          <w:rFonts w:hint="eastAsia"/>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"_Toc15396603" </w:instrText>
      </w:r>
      <w:r>
        <w:fldChar w:fldCharType="separate"/>
      </w:r>
      <w:r>
        <w:rPr>
          <w:rFonts w:hint="eastAsia" w:ascii="仿宋" w:hAnsi="仿宋" w:eastAsia="仿宋"/>
          <w:sz w:val="28"/>
          <w:szCs w:val="28"/>
        </w:rPr>
        <w:t>一、收入支出决算总体情况说明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8</w:t>
      </w:r>
      <w:r>
        <w:rPr>
          <w:rFonts w:hint="eastAsia" w:ascii="仿宋" w:hAnsi="仿宋" w:eastAsia="仿宋"/>
          <w:sz w:val="28"/>
          <w:szCs w:val="28"/>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"_Toc15396604" </w:instrText>
      </w:r>
      <w:r>
        <w:fldChar w:fldCharType="separate"/>
      </w:r>
      <w:r>
        <w:rPr>
          <w:rFonts w:hint="eastAsia" w:ascii="仿宋" w:hAnsi="仿宋" w:eastAsia="仿宋"/>
          <w:sz w:val="28"/>
          <w:szCs w:val="28"/>
        </w:rPr>
        <w:t>二、收入决算情况说明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"_Toc15396605" </w:instrText>
      </w:r>
      <w:r>
        <w:fldChar w:fldCharType="separate"/>
      </w:r>
      <w:r>
        <w:rPr>
          <w:rFonts w:hint="eastAsia" w:ascii="仿宋" w:hAnsi="仿宋" w:eastAsia="仿宋"/>
          <w:sz w:val="28"/>
          <w:szCs w:val="28"/>
        </w:rPr>
        <w:t>三、支出决算情况说明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"_Toc15396606" </w:instrText>
      </w:r>
      <w:r>
        <w:fldChar w:fldCharType="separate"/>
      </w:r>
      <w:r>
        <w:rPr>
          <w:rFonts w:hint="eastAsia" w:ascii="仿宋" w:hAnsi="仿宋" w:eastAsia="仿宋"/>
          <w:sz w:val="28"/>
          <w:szCs w:val="28"/>
        </w:rPr>
        <w:t>四、财政拨款收入支出决算总体情况说明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rPr>
        <w:t>0</w:t>
      </w:r>
    </w:p>
    <w:p>
      <w:pPr>
        <w:pStyle w:val="13"/>
        <w:spacing w:line="576" w:lineRule="exact"/>
        <w:rPr>
          <w:rFonts w:ascii="仿宋" w:hAnsi="仿宋" w:eastAsia="仿宋" w:cstheme="minorBidi"/>
          <w:sz w:val="28"/>
          <w:szCs w:val="28"/>
          <w:u w:color="FFFFFF" w:themeColor="background1"/>
        </w:rPr>
      </w:pPr>
      <w:r>
        <w:fldChar w:fldCharType="begin"/>
      </w:r>
      <w:r>
        <w:instrText xml:space="preserve"> HYPERLINK \l "_Toc15396607" </w:instrText>
      </w:r>
      <w:r>
        <w:fldChar w:fldCharType="separate"/>
      </w:r>
      <w:r>
        <w:rPr>
          <w:rFonts w:hint="eastAsia" w:ascii="仿宋" w:hAnsi="仿宋" w:eastAsia="仿宋"/>
          <w:sz w:val="28"/>
          <w:szCs w:val="28"/>
        </w:rPr>
        <w:t>五、一般公共预算财政拨款支出决算情况说明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rPr>
        <w:t>0</w:t>
      </w:r>
    </w:p>
    <w:p>
      <w:pPr>
        <w:pStyle w:val="13"/>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"_Toc15396608" </w:instrText>
      </w:r>
      <w:r>
        <w:fldChar w:fldCharType="separate"/>
      </w:r>
      <w:r>
        <w:rPr>
          <w:rFonts w:hint="eastAsia" w:ascii="仿宋" w:hAnsi="仿宋" w:eastAsia="仿宋"/>
          <w:sz w:val="28"/>
          <w:szCs w:val="28"/>
        </w:rPr>
        <w:t>六、一般公共预算财政拨款基本支出决算情况说明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4</w:t>
      </w:r>
    </w:p>
    <w:p>
      <w:pPr>
        <w:pStyle w:val="13"/>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"_Toc15396609" </w:instrText>
      </w:r>
      <w:r>
        <w:fldChar w:fldCharType="separate"/>
      </w:r>
      <w:r>
        <w:rPr>
          <w:rFonts w:hint="eastAsia" w:ascii="仿宋" w:hAnsi="仿宋" w:eastAsia="仿宋"/>
          <w:sz w:val="28"/>
          <w:szCs w:val="28"/>
        </w:rPr>
        <w:t>七、“三公”经费财政拨款支出决算情况说明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5</w:t>
      </w:r>
    </w:p>
    <w:p>
      <w:pPr>
        <w:pStyle w:val="13"/>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"_Toc15396610" </w:instrText>
      </w:r>
      <w:r>
        <w:fldChar w:fldCharType="separate"/>
      </w:r>
      <w:r>
        <w:rPr>
          <w:rFonts w:hint="eastAsia" w:ascii="仿宋" w:hAnsi="仿宋" w:eastAsia="仿宋"/>
          <w:sz w:val="28"/>
          <w:szCs w:val="28"/>
        </w:rPr>
        <w:t>八、政府性基金预算支出决算情况说明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6</w:t>
      </w:r>
    </w:p>
    <w:p>
      <w:pPr>
        <w:pStyle w:val="13"/>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"_Toc15396611" </w:instrText>
      </w:r>
      <w:r>
        <w:fldChar w:fldCharType="separate"/>
      </w:r>
      <w:r>
        <w:rPr>
          <w:rFonts w:hint="eastAsia" w:ascii="仿宋" w:hAnsi="仿宋" w:eastAsia="仿宋"/>
          <w:sz w:val="28"/>
          <w:szCs w:val="28"/>
        </w:rPr>
        <w:t>九、 国有资本经营预算支出决算情况说明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6</w:t>
      </w:r>
    </w:p>
    <w:p>
      <w:pPr>
        <w:pStyle w:val="13"/>
        <w:spacing w:line="576" w:lineRule="exact"/>
        <w:rPr>
          <w:rFonts w:hint="eastAsia" w:ascii="仿宋" w:hAnsi="仿宋" w:eastAsia="仿宋"/>
          <w:sz w:val="28"/>
          <w:szCs w:val="28"/>
          <w:u w:color="FFFFFF" w:themeColor="background1"/>
          <w:lang w:eastAsia="zh-CN"/>
        </w:rPr>
      </w:pPr>
      <w:r>
        <w:fldChar w:fldCharType="begin"/>
      </w:r>
      <w:r>
        <w:instrText xml:space="preserve"> HYPERLINK \l "_Toc15396612" </w:instrText>
      </w:r>
      <w:r>
        <w:fldChar w:fldCharType="separate"/>
      </w:r>
      <w:r>
        <w:rPr>
          <w:rFonts w:hint="eastAsia" w:ascii="仿宋" w:hAnsi="仿宋" w:eastAsia="仿宋"/>
          <w:sz w:val="28"/>
          <w:szCs w:val="28"/>
        </w:rPr>
        <w:t>十、其他重要事项的情况说明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6</w:t>
      </w:r>
    </w:p>
    <w:p>
      <w:pPr>
        <w:pStyle w:val="13"/>
        <w:spacing w:line="576" w:lineRule="exact"/>
        <w:rPr>
          <w:rFonts w:hint="default" w:eastAsia="仿宋"/>
          <w:lang w:val="en-US" w:eastAsia="zh-CN"/>
        </w:rPr>
      </w:pPr>
      <w:r>
        <w:fldChar w:fldCharType="begin"/>
      </w:r>
      <w:r>
        <w:instrText xml:space="preserve"> HYPERLINK \l "_Toc15396612" </w:instrText>
      </w:r>
      <w:r>
        <w:fldChar w:fldCharType="separate"/>
      </w:r>
      <w:r>
        <w:rPr>
          <w:rFonts w:hint="eastAsia" w:ascii="仿宋" w:hAnsi="仿宋" w:eastAsia="仿宋"/>
          <w:sz w:val="28"/>
          <w:szCs w:val="28"/>
        </w:rPr>
        <w:t>十</w:t>
      </w:r>
      <w:r>
        <w:rPr>
          <w:rFonts w:hint="eastAsia" w:ascii="仿宋" w:hAnsi="仿宋" w:eastAsia="仿宋"/>
          <w:sz w:val="28"/>
          <w:szCs w:val="28"/>
          <w:lang w:val="en-US" w:eastAsia="zh-CN"/>
        </w:rPr>
        <w:t>一</w:t>
      </w:r>
      <w:r>
        <w:rPr>
          <w:rFonts w:hint="eastAsia" w:ascii="仿宋" w:hAnsi="仿宋" w:eastAsia="仿宋"/>
          <w:sz w:val="28"/>
          <w:szCs w:val="28"/>
        </w:rPr>
        <w:t>、</w:t>
      </w:r>
      <w:r>
        <w:rPr>
          <w:rFonts w:hint="eastAsia" w:ascii="仿宋" w:hAnsi="仿宋" w:eastAsia="仿宋"/>
          <w:sz w:val="28"/>
          <w:szCs w:val="28"/>
          <w:lang w:val="en-US" w:eastAsia="zh-CN"/>
        </w:rPr>
        <w:t>预算绩效管理情况</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7</w:t>
      </w:r>
    </w:p>
    <w:p>
      <w:pPr>
        <w:pStyle w:val="12"/>
        <w:spacing w:line="576" w:lineRule="exact"/>
        <w:jc w:val="both"/>
        <w:rPr>
          <w:rFonts w:hint="eastAsia" w:eastAsia="仿宋" w:cstheme="minorBidi"/>
          <w:u w:color="FFFFFF" w:themeColor="background1"/>
          <w:lang w:eastAsia="zh-CN"/>
        </w:rPr>
      </w:pPr>
      <w:r>
        <w:fldChar w:fldCharType="begin"/>
      </w:r>
      <w:r>
        <w:instrText xml:space="preserve"> HYPERLINK \l "_Toc15396613" </w:instrText>
      </w:r>
      <w:r>
        <w:fldChar w:fldCharType="separate"/>
      </w:r>
      <w:r>
        <w:rPr>
          <w:rFonts w:hint="eastAsia"/>
        </w:rPr>
        <w:t>第三部分 名词解释</w:t>
      </w:r>
      <w:r>
        <w:rPr>
          <w:u w:color="FFFFFF" w:themeColor="background1"/>
        </w:rPr>
        <w:tab/>
      </w:r>
      <w:r>
        <w:rPr>
          <w:rFonts w:hint="eastAsia"/>
          <w:u w:color="FFFFFF" w:themeColor="background1"/>
        </w:rPr>
        <w:t>1</w:t>
      </w:r>
      <w:r>
        <w:rPr>
          <w:rFonts w:hint="eastAsia"/>
          <w:u w:color="FFFFFF" w:themeColor="background1"/>
        </w:rPr>
        <w:fldChar w:fldCharType="end"/>
      </w:r>
      <w:r>
        <w:rPr>
          <w:rFonts w:hint="eastAsia"/>
          <w:u w:color="FFFFFF" w:themeColor="background1"/>
          <w:lang w:val="en-US" w:eastAsia="zh-CN"/>
        </w:rPr>
        <w:t>7</w:t>
      </w:r>
    </w:p>
    <w:p>
      <w:pPr>
        <w:pStyle w:val="12"/>
        <w:spacing w:line="576" w:lineRule="exact"/>
        <w:jc w:val="both"/>
        <w:rPr>
          <w:rFonts w:hint="eastAsia" w:eastAsia="仿宋"/>
          <w:u w:color="FFFFFF" w:themeColor="background1"/>
          <w:lang w:eastAsia="zh-CN"/>
        </w:rPr>
      </w:pPr>
      <w:r>
        <w:fldChar w:fldCharType="begin"/>
      </w:r>
      <w:r>
        <w:instrText xml:space="preserve"> HYPERLINK \l "_Toc15396618" </w:instrText>
      </w:r>
      <w:r>
        <w:fldChar w:fldCharType="separate"/>
      </w:r>
      <w:r>
        <w:rPr>
          <w:rFonts w:hint="eastAsia"/>
        </w:rPr>
        <w:t>第四部分附</w:t>
      </w:r>
      <w:r>
        <w:rPr>
          <w:rFonts w:hint="eastAsia"/>
          <w:lang w:val="en-US" w:eastAsia="zh-CN"/>
        </w:rPr>
        <w:t>件</w:t>
      </w:r>
      <w:r>
        <w:rPr>
          <w:u w:color="FFFFFF" w:themeColor="background1"/>
        </w:rPr>
        <w:tab/>
      </w:r>
      <w:r>
        <w:rPr>
          <w:rFonts w:hint="eastAsia"/>
          <w:u w:color="FFFFFF" w:themeColor="background1"/>
        </w:rPr>
        <w:t>2</w:t>
      </w:r>
      <w:r>
        <w:rPr>
          <w:rFonts w:hint="eastAsia"/>
          <w:u w:color="FFFFFF" w:themeColor="background1"/>
        </w:rPr>
        <w:fldChar w:fldCharType="end"/>
      </w:r>
      <w:r>
        <w:rPr>
          <w:rFonts w:hint="eastAsia"/>
          <w:u w:color="FFFFFF" w:themeColor="background1"/>
          <w:lang w:val="en-US" w:eastAsia="zh-CN"/>
        </w:rPr>
        <w:t>3</w:t>
      </w:r>
    </w:p>
    <w:p>
      <w:pPr>
        <w:pStyle w:val="12"/>
        <w:spacing w:line="576" w:lineRule="exact"/>
        <w:jc w:val="both"/>
        <w:rPr>
          <w:rFonts w:hint="eastAsia" w:eastAsia="仿宋"/>
          <w:u w:color="FFFFFF" w:themeColor="background1"/>
          <w:lang w:eastAsia="zh-CN"/>
        </w:rPr>
      </w:pPr>
      <w:r>
        <w:fldChar w:fldCharType="begin"/>
      </w:r>
      <w:r>
        <w:instrText xml:space="preserve"> HYPERLINK \l "_Toc15396618" </w:instrText>
      </w:r>
      <w:r>
        <w:fldChar w:fldCharType="separate"/>
      </w:r>
      <w:r>
        <w:rPr>
          <w:rFonts w:hint="eastAsia"/>
          <w:lang w:val="en-US" w:eastAsia="zh-CN"/>
        </w:rPr>
        <w:t xml:space="preserve">    </w:t>
      </w:r>
      <w:r>
        <w:rPr>
          <w:rFonts w:hint="eastAsia"/>
        </w:rPr>
        <w:t>附</w:t>
      </w:r>
      <w:r>
        <w:rPr>
          <w:rFonts w:hint="eastAsia"/>
          <w:lang w:val="en-US" w:eastAsia="zh-CN"/>
        </w:rPr>
        <w:t>件1</w:t>
      </w:r>
      <w:r>
        <w:rPr>
          <w:u w:color="FFFFFF" w:themeColor="background1"/>
        </w:rPr>
        <w:tab/>
      </w:r>
      <w:r>
        <w:rPr>
          <w:rFonts w:hint="eastAsia"/>
          <w:u w:color="FFFFFF" w:themeColor="background1"/>
        </w:rPr>
        <w:t>2</w:t>
      </w:r>
      <w:r>
        <w:rPr>
          <w:rFonts w:hint="eastAsia"/>
          <w:u w:color="FFFFFF" w:themeColor="background1"/>
        </w:rPr>
        <w:fldChar w:fldCharType="end"/>
      </w:r>
      <w:r>
        <w:rPr>
          <w:rFonts w:hint="eastAsia"/>
          <w:u w:color="FFFFFF" w:themeColor="background1"/>
          <w:lang w:val="en-US" w:eastAsia="zh-CN"/>
        </w:rPr>
        <w:t>4</w:t>
      </w:r>
    </w:p>
    <w:p>
      <w:pPr>
        <w:pStyle w:val="12"/>
        <w:spacing w:line="576" w:lineRule="exact"/>
        <w:ind w:firstLine="560" w:firstLineChars="200"/>
        <w:jc w:val="both"/>
        <w:rPr>
          <w:rFonts w:hint="eastAsia" w:eastAsia="仿宋"/>
          <w:u w:color="FFFFFF" w:themeColor="background1"/>
          <w:lang w:eastAsia="zh-CN"/>
        </w:rPr>
      </w:pPr>
      <w:r>
        <w:fldChar w:fldCharType="begin"/>
      </w:r>
      <w:r>
        <w:instrText xml:space="preserve"> HYPERLINK \l "_Toc15396618" </w:instrText>
      </w:r>
      <w:r>
        <w:fldChar w:fldCharType="separate"/>
      </w:r>
      <w:r>
        <w:rPr>
          <w:rFonts w:hint="eastAsia"/>
          <w:lang w:val="en-US" w:eastAsia="zh-CN"/>
        </w:rPr>
        <w:t>附件2</w:t>
      </w:r>
      <w:r>
        <w:rPr>
          <w:u w:color="FFFFFF" w:themeColor="background1"/>
        </w:rPr>
        <w:tab/>
      </w:r>
      <w:r>
        <w:rPr>
          <w:rFonts w:hint="eastAsia"/>
          <w:u w:color="FFFFFF" w:themeColor="background1"/>
        </w:rPr>
        <w:t>2</w:t>
      </w:r>
      <w:r>
        <w:rPr>
          <w:rFonts w:hint="eastAsia"/>
          <w:u w:color="FFFFFF" w:themeColor="background1"/>
        </w:rPr>
        <w:fldChar w:fldCharType="end"/>
      </w:r>
      <w:r>
        <w:rPr>
          <w:rFonts w:hint="eastAsia"/>
          <w:u w:color="FFFFFF" w:themeColor="background1"/>
          <w:lang w:val="en-US" w:eastAsia="zh-CN"/>
        </w:rPr>
        <w:t>7</w:t>
      </w:r>
    </w:p>
    <w:p>
      <w:pPr>
        <w:rPr>
          <w:rFonts w:hint="eastAsia"/>
        </w:rPr>
      </w:pPr>
    </w:p>
    <w:p>
      <w:pPr>
        <w:pStyle w:val="12"/>
        <w:spacing w:line="576" w:lineRule="exact"/>
        <w:jc w:val="both"/>
        <w:rPr>
          <w:rFonts w:hint="eastAsia" w:eastAsia="仿宋"/>
          <w:lang w:val="en-US" w:eastAsia="zh-CN"/>
        </w:rPr>
      </w:pPr>
      <w:r>
        <w:fldChar w:fldCharType="begin"/>
      </w:r>
      <w:r>
        <w:instrText xml:space="preserve"> HYPERLINK \l "_Toc15396618" </w:instrText>
      </w:r>
      <w:r>
        <w:fldChar w:fldCharType="separate"/>
      </w:r>
      <w:r>
        <w:rPr>
          <w:rFonts w:hint="eastAsia"/>
        </w:rPr>
        <w:t>第</w:t>
      </w:r>
      <w:r>
        <w:rPr>
          <w:rFonts w:hint="eastAsia"/>
          <w:lang w:val="en-US" w:eastAsia="zh-CN"/>
        </w:rPr>
        <w:t>五</w:t>
      </w:r>
      <w:r>
        <w:rPr>
          <w:rFonts w:hint="eastAsia"/>
        </w:rPr>
        <w:t>部分附</w:t>
      </w:r>
      <w:r>
        <w:rPr>
          <w:rFonts w:hint="eastAsia"/>
          <w:lang w:val="en-US" w:eastAsia="zh-CN"/>
        </w:rPr>
        <w:t>表</w:t>
      </w:r>
      <w:r>
        <w:rPr>
          <w:u w:color="FFFFFF" w:themeColor="background1"/>
        </w:rPr>
        <w:tab/>
      </w:r>
      <w:r>
        <w:rPr>
          <w:rFonts w:hint="eastAsia"/>
          <w:u w:color="FFFFFF" w:themeColor="background1"/>
          <w:lang w:val="en-US" w:eastAsia="zh-CN"/>
        </w:rPr>
        <w:t>3</w:t>
      </w:r>
      <w:r>
        <w:rPr>
          <w:rFonts w:hint="eastAsia"/>
          <w:u w:color="FFFFFF" w:themeColor="background1"/>
        </w:rPr>
        <w:fldChar w:fldCharType="end"/>
      </w:r>
      <w:r>
        <w:rPr>
          <w:rFonts w:hint="eastAsia"/>
          <w:u w:color="FFFFFF" w:themeColor="background1"/>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sz w:val="28"/>
          <w:szCs w:val="28"/>
          <w:lang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eastAsia" w:eastAsia="仿宋" w:asciiTheme="minorEastAsia" w:hAnsiTheme="minorEastAsia" w:cstheme="minorEastAsia"/>
          <w:sz w:val="24"/>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3</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3"/>
        <w:spacing w:line="576" w:lineRule="exact"/>
        <w:rPr>
          <w:rFonts w:hint="default" w:ascii="仿宋" w:hAnsi="仿宋" w:eastAsia="仿宋"/>
          <w:sz w:val="28"/>
          <w:szCs w:val="28"/>
          <w:lang w:val="en-US" w:eastAsia="zh-CN"/>
        </w:rPr>
      </w:pPr>
      <w:r>
        <w:rPr>
          <w:rFonts w:hint="eastAsia" w:ascii="仿宋" w:hAnsi="仿宋" w:eastAsia="仿宋"/>
          <w:sz w:val="28"/>
          <w:szCs w:val="28"/>
        </w:rPr>
        <w:t>(十一)、政府性基金预算财政拨款收入支出决算表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31</w:t>
      </w:r>
    </w:p>
    <w:p>
      <w:pPr>
        <w:pStyle w:val="13"/>
        <w:spacing w:line="576" w:lineRule="exact"/>
        <w:rPr>
          <w:rFonts w:hint="default" w:eastAsia="仿宋" w:asciiTheme="minorEastAsia" w:hAnsiTheme="minorEastAsia" w:cstheme="minorEastAsia"/>
          <w:sz w:val="24"/>
          <w:lang w:val="en-US" w:eastAsia="zh-CN"/>
        </w:rPr>
      </w:pPr>
      <w:r>
        <w:rPr>
          <w:rFonts w:hint="eastAsia" w:ascii="仿宋" w:hAnsi="仿宋" w:eastAsia="仿宋"/>
          <w:sz w:val="28"/>
          <w:szCs w:val="28"/>
        </w:rPr>
        <w:t>(十二)、政府性基金预算财政拨款“三公”经费支出决算</w:t>
      </w:r>
      <w:r>
        <w:rPr>
          <w:rFonts w:hint="eastAsia" w:asciiTheme="minorEastAsia" w:hAnsiTheme="minorEastAsia" w:eastAsiaTheme="minorEastAsia" w:cstheme="minorEastAsia"/>
          <w:sz w:val="24"/>
        </w:rPr>
        <w:t>表</w:t>
      </w:r>
      <w:r>
        <w:rPr>
          <w:rFonts w:ascii="仿宋" w:hAnsi="仿宋" w:eastAsia="仿宋"/>
          <w:sz w:val="28"/>
          <w:szCs w:val="28"/>
        </w:rPr>
        <w:tab/>
      </w:r>
      <w:r>
        <w:rPr>
          <w:rFonts w:hint="eastAsia" w:ascii="仿宋" w:hAnsi="仿宋" w:eastAsia="仿宋"/>
          <w:sz w:val="28"/>
          <w:szCs w:val="28"/>
          <w:lang w:val="en-US" w:eastAsia="zh-CN"/>
        </w:rPr>
        <w:t>31</w:t>
      </w:r>
    </w:p>
    <w:p>
      <w:pPr>
        <w:pStyle w:val="13"/>
        <w:spacing w:line="576" w:lineRule="exact"/>
        <w:rPr>
          <w:rFonts w:hint="default" w:ascii="仿宋" w:hAnsi="仿宋" w:eastAsia="仿宋"/>
          <w:sz w:val="28"/>
          <w:szCs w:val="28"/>
          <w:lang w:val="en-US" w:eastAsia="zh-CN"/>
        </w:rPr>
      </w:pPr>
      <w:r>
        <w:rPr>
          <w:rFonts w:hint="eastAsia" w:ascii="仿宋" w:hAnsi="仿宋" w:eastAsia="仿宋"/>
          <w:sz w:val="28"/>
          <w:szCs w:val="28"/>
        </w:rPr>
        <w:t>(十三)、国有资本经营预算财政拨款收入支出决算表</w:t>
      </w:r>
      <w:r>
        <w:rPr>
          <w:rFonts w:ascii="仿宋" w:hAnsi="仿宋" w:eastAsia="仿宋"/>
          <w:sz w:val="28"/>
          <w:szCs w:val="28"/>
        </w:rPr>
        <w:tab/>
      </w:r>
      <w:r>
        <w:rPr>
          <w:rFonts w:hint="eastAsia" w:ascii="仿宋" w:hAnsi="仿宋" w:eastAsia="仿宋"/>
          <w:sz w:val="28"/>
          <w:szCs w:val="28"/>
          <w:lang w:val="en-US" w:eastAsia="zh-CN"/>
        </w:rPr>
        <w:t>31</w:t>
      </w:r>
    </w:p>
    <w:p>
      <w:pPr>
        <w:pStyle w:val="13"/>
        <w:spacing w:line="576" w:lineRule="exact"/>
        <w:rPr>
          <w:rFonts w:hint="default" w:ascii="仿宋" w:hAnsi="仿宋" w:eastAsia="仿宋"/>
          <w:sz w:val="28"/>
          <w:szCs w:val="28"/>
          <w:lang w:val="en-US" w:eastAsia="zh-CN"/>
        </w:rPr>
      </w:pPr>
      <w:r>
        <w:rPr>
          <w:rFonts w:hint="eastAsia" w:ascii="仿宋" w:hAnsi="仿宋" w:eastAsia="仿宋"/>
          <w:sz w:val="28"/>
          <w:szCs w:val="28"/>
        </w:rPr>
        <w:t>(十四)、国有资本经营预算财政拨款支出决算表</w:t>
      </w:r>
      <w:r>
        <w:rPr>
          <w:rFonts w:ascii="仿宋" w:hAnsi="仿宋" w:eastAsia="仿宋"/>
          <w:sz w:val="28"/>
          <w:szCs w:val="28"/>
        </w:rPr>
        <w:tab/>
      </w:r>
      <w:r>
        <w:rPr>
          <w:rFonts w:hint="eastAsia" w:ascii="仿宋" w:hAnsi="仿宋" w:eastAsia="仿宋"/>
          <w:sz w:val="28"/>
          <w:szCs w:val="28"/>
          <w:lang w:val="en-US" w:eastAsia="zh-CN"/>
        </w:rPr>
        <w:t>31</w:t>
      </w:r>
    </w:p>
    <w:p>
      <w:pPr>
        <w:widowControl/>
        <w:spacing w:line="576" w:lineRule="exac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numPr>
          <w:ilvl w:val="0"/>
          <w:numId w:val="1"/>
        </w:numPr>
        <w:spacing w:line="576" w:lineRule="exact"/>
        <w:jc w:val="center"/>
      </w:pPr>
      <w:r>
        <w:rPr>
          <w:rStyle w:val="27"/>
          <w:rFonts w:hint="eastAsia" w:ascii="方正小标宋简体" w:hAnsi="方正小标宋简体" w:eastAsia="方正小标宋简体" w:cs="方正小标宋简体"/>
          <w:b w:val="0"/>
          <w:bCs w:val="0"/>
        </w:rPr>
        <w:t>部门概况</w:t>
      </w:r>
      <w:bookmarkEnd w:id="12"/>
      <w:bookmarkEnd w:id="13"/>
    </w:p>
    <w:p>
      <w:pPr>
        <w:pStyle w:val="2"/>
        <w:spacing w:before="93"/>
      </w:pPr>
    </w:p>
    <w:p>
      <w:pPr>
        <w:spacing w:line="576" w:lineRule="exact"/>
        <w:ind w:firstLine="640" w:firstLineChars="200"/>
        <w:rPr>
          <w:rStyle w:val="28"/>
          <w:rFonts w:ascii="仿宋" w:hAnsi="仿宋" w:eastAsia="仿宋"/>
          <w:b w:val="0"/>
          <w:bCs w:val="0"/>
        </w:rPr>
      </w:pPr>
      <w:bookmarkStart w:id="14" w:name="_Toc15377197"/>
      <w:bookmarkStart w:id="15" w:name="_Toc15396600"/>
      <w:r>
        <w:rPr>
          <w:rFonts w:hint="eastAsia" w:ascii="黑体" w:hAnsi="黑体" w:eastAsia="黑体"/>
          <w:sz w:val="32"/>
          <w:szCs w:val="32"/>
        </w:rPr>
        <w:t>一、基</w:t>
      </w:r>
      <w:r>
        <w:rPr>
          <w:rStyle w:val="28"/>
          <w:rFonts w:hint="eastAsia" w:ascii="黑体" w:hAnsi="黑体" w:eastAsia="黑体"/>
          <w:b w:val="0"/>
          <w:bCs w:val="0"/>
        </w:rPr>
        <w:t>本职能及主要工作</w:t>
      </w:r>
      <w:bookmarkEnd w:id="14"/>
      <w:bookmarkEnd w:id="15"/>
    </w:p>
    <w:p>
      <w:pPr>
        <w:pStyle w:val="2"/>
        <w:adjustRightInd w:val="0"/>
        <w:snapToGrid w:val="0"/>
        <w:spacing w:before="93" w:line="576" w:lineRule="exact"/>
        <w:ind w:firstLine="672" w:firstLineChars="210"/>
        <w:rPr>
          <w:rFonts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p>
    <w:p>
      <w:pPr>
        <w:pStyle w:val="2"/>
        <w:adjustRightInd w:val="0"/>
        <w:snapToGrid w:val="0"/>
        <w:spacing w:beforeLines="0" w:line="576" w:lineRule="exact"/>
        <w:ind w:firstLine="672" w:firstLineChars="210"/>
        <w:rPr>
          <w:rFonts w:ascii="仿宋" w:hAnsi="仿宋" w:eastAsia="仿宋"/>
          <w:bCs/>
          <w:sz w:val="32"/>
          <w:szCs w:val="32"/>
        </w:rPr>
      </w:pPr>
      <w:r>
        <w:rPr>
          <w:rFonts w:hint="eastAsia" w:hAnsi="楷体_GB2312" w:cs="楷体_GB2312"/>
          <w:color w:val="000000"/>
          <w:sz w:val="32"/>
          <w:szCs w:val="32"/>
        </w:rPr>
        <w:t>主要职责为：负责辖区内党建、基层党组织建设、宣传、精准扶贫、农林畜牧、安全生产、信访维稳、项目建设、房屋征收与补偿、计划生育、民政、劳动就业、社会保障、环境保护等工作。</w:t>
      </w:r>
    </w:p>
    <w:p>
      <w:pPr>
        <w:pStyle w:val="2"/>
        <w:adjustRightInd w:val="0"/>
        <w:snapToGrid w:val="0"/>
        <w:spacing w:before="93" w:line="576" w:lineRule="exact"/>
        <w:ind w:firstLine="672" w:firstLineChars="210"/>
        <w:rPr>
          <w:rFonts w:ascii="仿宋" w:hAnsi="仿宋" w:eastAsia="仿宋"/>
          <w:bCs/>
          <w:sz w:val="32"/>
          <w:szCs w:val="32"/>
        </w:rPr>
      </w:pPr>
      <w:bookmarkStart w:id="18" w:name="_Toc15377199"/>
      <w:bookmarkStart w:id="19" w:name="_Toc15378446"/>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2021年，在区党工委、管委会的坚强领导下，石龙街道坚持以习近平新时代中国特色社会主义思想为指导，深入学习贯彻党的十九大及十九届二中、三中、四中、五中、六中全会精神，以庆祝中国共产党成立100周年为契机，以为“十四五”开好局、起好步添动力，增强“四个意识”，坚定“四个自信”，做到“两个维护”紧紧围绕。各项工作和目标任务，主动作为、开拓创新、求真务实，以“硬作风”完成了“硬任务”。获广元市委、市政府“2020年度项目投资先进集体”、全区“抗击新冠肺炎疫情先进集体”称号。</w:t>
      </w:r>
    </w:p>
    <w:p>
      <w:pPr>
        <w:spacing w:line="576"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shd w:val="clear" w:color="auto" w:fill="FFFFFF"/>
        </w:rPr>
        <w:t>一、2021年工作回顾</w:t>
      </w:r>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一是党史教育抓实</w:t>
      </w:r>
      <w:r>
        <w:rPr>
          <w:rFonts w:hint="eastAsia" w:ascii="仿宋_GB2312" w:hAnsi="仿宋_GB2312" w:eastAsia="仿宋_GB2312" w:cs="仿宋_GB2312"/>
          <w:bCs/>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发放习近平《论中国共产党历史》《毛泽东、邓小平、江泽民、胡锦涛关于中国共产党历史论述摘编》《中国共产党简史》等书60多套，开展专题学习20次，集中讨论16次。撰写学习心得体会56篇，撰写调研报告5篇，讲党课15次，创新开展了党史学习教育“十个一”活动，组织1300多名党员和居民观看了《跨过鸭绿江》《长津湖》《杀出重围》等红色影片。制定了“我为群众办实事”清单和方案，大力推进供水管网建设、危桥修复、道路硬化、地质灾害整治等民生实事173件，已完成148件，占全部民生实事的86%。</w:t>
      </w:r>
      <w:r>
        <w:rPr>
          <w:rFonts w:hint="eastAsia" w:ascii="仿宋_GB2312" w:hAnsi="仿宋_GB2312" w:eastAsia="仿宋_GB2312" w:cs="仿宋_GB2312"/>
          <w:color w:val="000000"/>
          <w:sz w:val="32"/>
          <w:szCs w:val="32"/>
          <w:shd w:val="clear" w:color="auto" w:fill="FFFFFF"/>
        </w:rPr>
        <w:t>86岁老党员、军转干部魏代厚向河南灾区捐款1万元。</w:t>
      </w:r>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二是项目投资抓好。</w:t>
      </w:r>
      <w:r>
        <w:rPr>
          <w:rFonts w:hint="eastAsia" w:ascii="仿宋_GB2312" w:hAnsi="仿宋_GB2312" w:eastAsia="仿宋_GB2312" w:cs="仿宋_GB2312"/>
          <w:color w:val="000000"/>
          <w:kern w:val="0"/>
          <w:sz w:val="32"/>
          <w:szCs w:val="32"/>
          <w:shd w:val="clear" w:color="auto" w:fill="FFFFFF"/>
        </w:rPr>
        <w:t>高效推进坪雾限价商品房项目、白龙江左岸防洪堤工程、坪雾路网工程、白龙湖小分子水二期、石龙污水支管网建设等项目建设。我市首家村级化妆品企业广元玉风化妆品有限公司玫瑰水润精华乳、玫瑰洁面慕斯、玫瑰甜橙复方精油、玫瑰补水面膜、大马士革玫瑰纯露等6款系列化妆品投产，年产值达30万元以上。摆宴坝嘉陵江大桥目前已完成工程总量的80%。截止9月底，全办完成固投15.7538亿元，占全年固投任务的81.37%，居全区4个镇办第一位。王鹏获全市“2020年度项目投资先进个人”称号。</w:t>
      </w:r>
    </w:p>
    <w:p>
      <w:pPr>
        <w:spacing w:line="576" w:lineRule="exact"/>
        <w:ind w:firstLine="640" w:firstLineChars="200"/>
        <w:rPr>
          <w:rFonts w:ascii="仿宋_GB2312" w:hAnsi="仿宋_GB2312" w:eastAsia="仿宋_GB2312" w:cs="仿宋_GB2312"/>
          <w:bCs/>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三是纪律作风抓严</w:t>
      </w:r>
      <w:r>
        <w:rPr>
          <w:rFonts w:hint="eastAsia" w:ascii="仿宋_GB2312" w:hAnsi="仿宋_GB2312" w:eastAsia="仿宋_GB2312" w:cs="仿宋_GB2312"/>
          <w:bCs/>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rPr>
        <w:t>坚持把巡察整改作为第一“政治考题”，召开了</w:t>
      </w:r>
      <w:r>
        <w:rPr>
          <w:rFonts w:hint="eastAsia" w:ascii="仿宋_GB2312" w:hAnsi="仿宋_GB2312" w:eastAsia="仿宋_GB2312" w:cs="仿宋_GB2312"/>
          <w:bCs/>
          <w:color w:val="000000"/>
          <w:kern w:val="0"/>
          <w:sz w:val="32"/>
          <w:szCs w:val="32"/>
          <w:shd w:val="clear" w:color="auto" w:fill="FFFFFF"/>
        </w:rPr>
        <w:t>专题民主生活会，对省市委巡视组反馈的8个问题进行了整改</w:t>
      </w:r>
      <w:r>
        <w:rPr>
          <w:rFonts w:hint="eastAsia" w:ascii="仿宋_GB2312" w:hAnsi="仿宋_GB2312" w:eastAsia="仿宋_GB2312" w:cs="仿宋_GB2312"/>
          <w:color w:val="000000"/>
          <w:kern w:val="0"/>
          <w:sz w:val="32"/>
          <w:szCs w:val="32"/>
          <w:shd w:val="clear" w:color="auto" w:fill="FFFFFF"/>
        </w:rPr>
        <w:t>，切实做到问题不见底不放过、解决不彻底不松手、整改不到位不罢休，并在区微信公众号亮单晒诺，切实把整改转化为改进作风的实际行动。重点查找粗枝大叶、“小马虎”、标准不高、浮于表面、办事拖沓、效率低下、形式主义、官僚主义以及小进即满、不思进取等问题。排查问题245条，立行立改193条，剩余52条力争年底整改完成。督导检查纪律作风33次，发出督查通报2期。选派了5名营商环境监督员深入企业为营商环境“挑刺”，梳理并帮助解决了停水停电等6个问题。</w:t>
      </w:r>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四是民生改善抓紧。</w:t>
      </w:r>
      <w:r>
        <w:rPr>
          <w:rFonts w:hint="eastAsia" w:ascii="仿宋_GB2312" w:hAnsi="仿宋_GB2312" w:eastAsia="仿宋_GB2312" w:cs="仿宋_GB2312"/>
          <w:color w:val="000000"/>
          <w:kern w:val="0"/>
          <w:sz w:val="32"/>
          <w:szCs w:val="32"/>
          <w:shd w:val="clear" w:color="auto" w:fill="FFFFFF"/>
        </w:rPr>
        <w:t>聚焦群众的痛点、堵点、难点，接待来访群众4000余人次，办结便民服务事项4000余件。成功处理劳动投诉案件6起，涉及金额22余万元。启动肖家村、坪雾社区自来水管网建设、摆宴村700米主村道修复。白龙社区1000多米污水管网新建等民生项目，受益群众4250余人。在白龙社区开办了邮政快递驿站，解决了1730余名群众“取货难”问题。协调兑付了摆宴村长达8年的土地产值款309.34万元，辖区年内251名60岁以上老人得到转非安置，每人每月可领到1500元退休金。出动党员志愿者32批1000多人次，开展全方位城乡环境综合整治。常态化开展疫情防控，接种笫一针7117人，笫二针7117人，加强针51人。</w:t>
      </w:r>
    </w:p>
    <w:p>
      <w:pPr>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楷体" w:hAnsi="楷体" w:eastAsia="楷体" w:cs="楷体"/>
          <w:bCs/>
          <w:color w:val="000000"/>
          <w:kern w:val="0"/>
          <w:sz w:val="32"/>
          <w:szCs w:val="32"/>
          <w:shd w:val="clear" w:color="auto" w:fill="FFFFFF"/>
        </w:rPr>
        <w:t>五是安全维稳抓牢。</w:t>
      </w:r>
      <w:r>
        <w:rPr>
          <w:rFonts w:hint="eastAsia" w:ascii="仿宋_GB2312" w:hAnsi="仿宋_GB2312" w:eastAsia="仿宋_GB2312" w:cs="仿宋_GB2312"/>
          <w:color w:val="000000"/>
          <w:kern w:val="0"/>
          <w:sz w:val="32"/>
          <w:szCs w:val="32"/>
          <w:shd w:val="clear" w:color="auto" w:fill="FFFFFF"/>
        </w:rPr>
        <w:t>制定了《石龙街道安全生产事故责任追究制度》，制发了辖区防汛抗旱、防火、消防工作实施方案和应急抢险工作预案，与7个村（社区）和辖区各企事单位签订了安全目标责任书。开展企业安全检查30余次，安全知识宣传15次，对5个存在突出问题的企业进行了动态管控。农村10桌以上家宴备案率达100%。受理省市区转办件8件，接待信访群众30余人次，慰问困难退役军人、80岁以上退役军人53名。处理12345政务热线电话投诉件50件。大力开展“治重化积”专项治理，云杉纸业法人代表曹某、白龙社区宫某英、李某秀等人息访息诉。全年无到省进京越级上访。劳特巴赫获“全市先进基层调解组织”称号，指导王庭虎获“全市优秀基层调解员”称号，并代表优秀基层调解员在市上作经验交流发言。</w:t>
      </w:r>
    </w:p>
    <w:p>
      <w:pPr>
        <w:spacing w:line="576" w:lineRule="exact"/>
        <w:ind w:firstLine="640" w:firstLineChars="200"/>
        <w:rPr>
          <w:rFonts w:ascii="仿宋" w:hAnsi="仿宋" w:eastAsia="仿宋"/>
          <w:bCs/>
          <w:sz w:val="32"/>
          <w:szCs w:val="32"/>
        </w:rPr>
      </w:pPr>
      <w:r>
        <w:rPr>
          <w:rFonts w:hint="eastAsia" w:ascii="楷体" w:hAnsi="楷体" w:eastAsia="楷体" w:cs="楷体"/>
          <w:bCs/>
          <w:color w:val="000000"/>
          <w:kern w:val="0"/>
          <w:sz w:val="32"/>
          <w:szCs w:val="32"/>
          <w:shd w:val="clear" w:color="auto" w:fill="FFFFFF"/>
        </w:rPr>
        <w:t>六是党建工作抓准。</w:t>
      </w:r>
      <w:r>
        <w:rPr>
          <w:rFonts w:hint="eastAsia" w:ascii="仿宋_GB2312" w:hAnsi="仿宋_GB2312" w:eastAsia="仿宋_GB2312" w:cs="仿宋_GB2312"/>
          <w:color w:val="000000"/>
          <w:kern w:val="0"/>
          <w:sz w:val="32"/>
          <w:szCs w:val="32"/>
          <w:shd w:val="clear" w:color="auto" w:fill="FFFFFF"/>
        </w:rPr>
        <w:t>开展了建党100周年系列庆祝活动，发展党员12名，表彰先进基层党组织3个，表彰优秀党员、优秀党务工作者25名。98名老党员获“光荣在党50年”纪念章。始终把加强意识形态工作作为重要政治责任，筑牢思想防线、舆论主线、宣传底线。《用红船精神照亮共产党人的前行之路》《争做新时代出彩党办人》分别参加全市庆祝建党100周年征文和全市党办系统征文。组织党员开展志愿活动25次，参加各级培训200多人次。坪雾社区与盘龙机场开展了结对共建，石门社区关爱老人亮点突出，白龙社区投资23万元完成了阵地亲民化改造及配套设施，双龙、肖家举办了重阳节文艺汇演。在《龙门阵》《晚霞报》《广元日报》发表稿件9篇。《广元要情》上稿1条，市政府官网上稿2条，区《每周要情》上稿13条。《学习强国》发稿2篇，被市委宣传部授予《学习强国》学习平台供稿先进集体。</w:t>
      </w:r>
    </w:p>
    <w:p>
      <w:pPr>
        <w:spacing w:line="576" w:lineRule="exact"/>
        <w:ind w:firstLine="640" w:firstLineChars="200"/>
        <w:rPr>
          <w:rStyle w:val="28"/>
          <w:b w:val="0"/>
          <w:bCs w:val="0"/>
        </w:rPr>
      </w:pPr>
      <w:bookmarkStart w:id="20" w:name="_Toc15377200"/>
      <w:bookmarkStart w:id="21" w:name="_Toc15396601"/>
      <w:r>
        <w:rPr>
          <w:rFonts w:hint="eastAsia" w:ascii="黑体" w:eastAsia="黑体"/>
          <w:sz w:val="32"/>
          <w:szCs w:val="32"/>
        </w:rPr>
        <w:t>二、</w:t>
      </w:r>
      <w:r>
        <w:rPr>
          <w:rFonts w:hint="eastAsia" w:ascii="黑体" w:hAnsi="黑体" w:eastAsia="黑体"/>
          <w:sz w:val="32"/>
          <w:szCs w:val="32"/>
        </w:rPr>
        <w:t>机</w:t>
      </w:r>
      <w:r>
        <w:rPr>
          <w:rStyle w:val="28"/>
          <w:rFonts w:hint="eastAsia" w:ascii="黑体" w:hAnsi="黑体" w:eastAsia="黑体"/>
          <w:b w:val="0"/>
          <w:bCs w:val="0"/>
        </w:rPr>
        <w:t>构设置</w:t>
      </w:r>
      <w:bookmarkEnd w:id="20"/>
      <w:bookmarkEnd w:id="21"/>
    </w:p>
    <w:p>
      <w:pPr>
        <w:spacing w:line="576" w:lineRule="exact"/>
        <w:ind w:firstLine="640" w:firstLineChars="200"/>
        <w:rPr>
          <w:rFonts w:ascii="微软雅黑" w:hAnsi="微软雅黑" w:eastAsia="微软雅黑" w:cs="微软雅黑"/>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石龙办事处地处嘉陵江、白龙江、清水河三江交汇处，隶属广元经济技术开发区。街道辖3村4社区（肖家村、石龙村、摆宴村、双龙社区、白龙社区、石门社区、坪雾社区），面积22平方公里，人口1.2万余人。</w:t>
      </w:r>
      <w:r>
        <w:rPr>
          <w:rFonts w:hint="eastAsia" w:ascii="仿宋_GB2312" w:hAnsi="仿宋_GB2312" w:eastAsia="仿宋_GB2312" w:cs="仿宋_GB2312"/>
          <w:sz w:val="32"/>
          <w:szCs w:val="32"/>
        </w:rPr>
        <w:t>实际财政供养总人数27人，其中：在职正式干部11名，聘用干部16名。</w:t>
      </w:r>
    </w:p>
    <w:p>
      <w:pPr>
        <w:keepNext/>
        <w:keepLines/>
        <w:numPr>
          <w:ilvl w:val="0"/>
          <w:numId w:val="1"/>
        </w:numPr>
        <w:spacing w:line="576" w:lineRule="exact"/>
        <w:ind w:right="442"/>
        <w:jc w:val="center"/>
        <w:rPr>
          <w:rStyle w:val="27"/>
          <w:rFonts w:ascii="方正小标宋简体" w:hAnsi="方正小标宋简体" w:eastAsia="方正小标宋简体" w:cs="方正小标宋简体"/>
          <w:b w:val="0"/>
        </w:rPr>
      </w:pPr>
      <w:bookmarkStart w:id="22" w:name="_Toc15377204"/>
      <w:bookmarkStart w:id="23" w:name="_Toc15396602"/>
      <w:r>
        <w:rPr>
          <w:rFonts w:hint="eastAsia" w:ascii="方正小标宋简体" w:hAnsi="方正小标宋简体" w:eastAsia="方正小标宋简体" w:cs="方正小标宋简体"/>
          <w:bCs/>
          <w:sz w:val="44"/>
          <w:szCs w:val="44"/>
        </w:rPr>
        <w:t>2021年度</w:t>
      </w:r>
      <w:r>
        <w:rPr>
          <w:rStyle w:val="27"/>
          <w:rFonts w:hint="eastAsia" w:ascii="方正小标宋简体" w:hAnsi="方正小标宋简体" w:eastAsia="方正小标宋简体" w:cs="方正小标宋简体"/>
          <w:b w:val="0"/>
        </w:rPr>
        <w:t>部门决算情况说明</w:t>
      </w:r>
      <w:bookmarkEnd w:id="22"/>
      <w:bookmarkEnd w:id="23"/>
    </w:p>
    <w:p>
      <w:pPr>
        <w:pStyle w:val="2"/>
        <w:spacing w:before="93"/>
      </w:pPr>
    </w:p>
    <w:p>
      <w:pPr>
        <w:pStyle w:val="26"/>
        <w:numPr>
          <w:ilvl w:val="0"/>
          <w:numId w:val="2"/>
        </w:numPr>
        <w:spacing w:line="576" w:lineRule="exact"/>
        <w:ind w:firstLineChars="0"/>
        <w:outlineLvl w:val="1"/>
        <w:rPr>
          <w:rStyle w:val="28"/>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p>
    <w:p>
      <w:pPr>
        <w:spacing w:line="576" w:lineRule="exact"/>
        <w:ind w:firstLine="640"/>
        <w:rPr>
          <w:rFonts w:hint="eastAsia" w:ascii="仿宋" w:hAnsi="仿宋" w:eastAsia="仿宋"/>
          <w:sz w:val="32"/>
          <w:szCs w:val="32"/>
          <w:lang w:eastAsia="zh-CN"/>
        </w:rPr>
      </w:pPr>
      <w:r>
        <w:rPr>
          <w:rFonts w:hint="eastAsia" w:ascii="仿宋" w:hAnsi="仿宋" w:eastAsia="仿宋"/>
          <w:sz w:val="32"/>
          <w:szCs w:val="32"/>
        </w:rPr>
        <w:t>2021年度收</w:t>
      </w:r>
      <w:r>
        <w:rPr>
          <w:rFonts w:hint="eastAsia" w:ascii="仿宋" w:hAnsi="仿宋" w:eastAsia="仿宋"/>
          <w:sz w:val="32"/>
          <w:szCs w:val="32"/>
          <w:lang w:eastAsia="zh-CN"/>
        </w:rPr>
        <w:t>入</w:t>
      </w:r>
      <w:r>
        <w:rPr>
          <w:rFonts w:hint="eastAsia" w:ascii="仿宋" w:hAnsi="仿宋" w:eastAsia="仿宋"/>
          <w:sz w:val="32"/>
          <w:szCs w:val="32"/>
        </w:rPr>
        <w:t>总计908.05万元，年初财政调整结余5万元。</w:t>
      </w:r>
      <w:r>
        <w:rPr>
          <w:rFonts w:hint="eastAsia" w:ascii="仿宋" w:hAnsi="仿宋" w:eastAsia="仿宋"/>
          <w:sz w:val="32"/>
          <w:szCs w:val="32"/>
          <w:lang w:val="en-US" w:eastAsia="zh-CN"/>
        </w:rPr>
        <w:t>2021年支出913.05万元。</w:t>
      </w:r>
      <w:r>
        <w:rPr>
          <w:rFonts w:hint="eastAsia" w:ascii="仿宋" w:hAnsi="仿宋" w:eastAsia="仿宋"/>
          <w:sz w:val="32"/>
          <w:szCs w:val="32"/>
        </w:rPr>
        <w:t>与2020年相比，收</w:t>
      </w:r>
      <w:r>
        <w:rPr>
          <w:rFonts w:hint="eastAsia" w:ascii="仿宋" w:hAnsi="仿宋" w:eastAsia="仿宋"/>
          <w:sz w:val="32"/>
          <w:szCs w:val="32"/>
          <w:lang w:val="en-US" w:eastAsia="zh-CN"/>
        </w:rPr>
        <w:t>支</w:t>
      </w:r>
      <w:r>
        <w:rPr>
          <w:rFonts w:hint="eastAsia" w:ascii="仿宋" w:hAnsi="仿宋" w:eastAsia="仿宋"/>
          <w:sz w:val="32"/>
          <w:szCs w:val="32"/>
        </w:rPr>
        <w:t>总计各增加5</w:t>
      </w:r>
      <w:r>
        <w:rPr>
          <w:rFonts w:hint="eastAsia" w:ascii="仿宋" w:hAnsi="仿宋" w:eastAsia="仿宋"/>
          <w:sz w:val="32"/>
          <w:szCs w:val="32"/>
          <w:lang w:val="en-US" w:eastAsia="zh-CN"/>
        </w:rPr>
        <w:t>6</w:t>
      </w:r>
      <w:r>
        <w:rPr>
          <w:rFonts w:hint="eastAsia" w:ascii="仿宋" w:hAnsi="仿宋" w:eastAsia="仿宋"/>
          <w:sz w:val="32"/>
          <w:szCs w:val="32"/>
        </w:rPr>
        <w:t>.66万元，增长6.</w:t>
      </w:r>
      <w:r>
        <w:rPr>
          <w:rFonts w:hint="eastAsia" w:ascii="仿宋" w:hAnsi="仿宋" w:eastAsia="仿宋"/>
          <w:sz w:val="32"/>
          <w:szCs w:val="32"/>
          <w:lang w:val="en-US" w:eastAsia="zh-CN"/>
        </w:rPr>
        <w:t>61</w:t>
      </w:r>
      <w:r>
        <w:rPr>
          <w:rFonts w:ascii="仿宋" w:hAnsi="仿宋" w:eastAsia="仿宋"/>
          <w:sz w:val="32"/>
          <w:szCs w:val="32"/>
        </w:rPr>
        <w:t>%</w:t>
      </w:r>
      <w:r>
        <w:rPr>
          <w:rFonts w:hint="eastAsia" w:ascii="仿宋" w:hAnsi="仿宋" w:eastAsia="仿宋"/>
          <w:sz w:val="32"/>
          <w:szCs w:val="32"/>
        </w:rPr>
        <w:t>。主要变动原因是村社区工资调整，农林水</w:t>
      </w:r>
      <w:r>
        <w:rPr>
          <w:rFonts w:hint="eastAsia" w:ascii="仿宋" w:hAnsi="仿宋" w:eastAsia="仿宋"/>
          <w:sz w:val="32"/>
          <w:szCs w:val="32"/>
          <w:lang w:val="en-US" w:eastAsia="zh-CN"/>
        </w:rPr>
        <w:t>收</w:t>
      </w:r>
      <w:r>
        <w:rPr>
          <w:rFonts w:hint="eastAsia" w:ascii="仿宋" w:hAnsi="仿宋" w:eastAsia="仿宋"/>
          <w:sz w:val="32"/>
          <w:szCs w:val="32"/>
        </w:rPr>
        <w:t>支增加14.17万元，石龙工业园区指挥部人员增加，石龙街道机关办公楼搬迁，村社换届委托第三方公司审计，一般公共服务收</w:t>
      </w:r>
      <w:r>
        <w:rPr>
          <w:rFonts w:hint="eastAsia" w:ascii="仿宋" w:hAnsi="仿宋" w:eastAsia="仿宋"/>
          <w:sz w:val="32"/>
          <w:szCs w:val="32"/>
          <w:lang w:val="en-US" w:eastAsia="zh-CN"/>
        </w:rPr>
        <w:t>支</w:t>
      </w:r>
      <w:r>
        <w:rPr>
          <w:rFonts w:hint="eastAsia" w:ascii="仿宋" w:hAnsi="仿宋" w:eastAsia="仿宋"/>
          <w:sz w:val="32"/>
          <w:szCs w:val="32"/>
        </w:rPr>
        <w:t>增加120.56万元。对农村交通运输经费较少20万元，城乡社区事务收</w:t>
      </w:r>
      <w:r>
        <w:rPr>
          <w:rFonts w:hint="eastAsia" w:ascii="仿宋" w:hAnsi="仿宋" w:eastAsia="仿宋"/>
          <w:sz w:val="32"/>
          <w:szCs w:val="32"/>
          <w:lang w:val="en-US" w:eastAsia="zh-CN"/>
        </w:rPr>
        <w:t>支</w:t>
      </w:r>
      <w:r>
        <w:rPr>
          <w:rFonts w:hint="eastAsia" w:ascii="仿宋" w:hAnsi="仿宋" w:eastAsia="仿宋"/>
          <w:sz w:val="32"/>
          <w:szCs w:val="32"/>
        </w:rPr>
        <w:t>减少7.7万元，灾害防治及应急管理</w:t>
      </w:r>
      <w:r>
        <w:rPr>
          <w:rFonts w:hint="eastAsia" w:ascii="仿宋" w:hAnsi="仿宋" w:eastAsia="仿宋"/>
          <w:sz w:val="32"/>
          <w:szCs w:val="32"/>
          <w:lang w:val="en-US" w:eastAsia="zh-CN"/>
        </w:rPr>
        <w:t>收</w:t>
      </w:r>
      <w:r>
        <w:rPr>
          <w:rFonts w:hint="eastAsia" w:ascii="仿宋" w:hAnsi="仿宋" w:eastAsia="仿宋"/>
          <w:sz w:val="32"/>
          <w:szCs w:val="32"/>
        </w:rPr>
        <w:t xml:space="preserve">支减少18.49万元，其他经费减少34.88万元。 </w:t>
      </w:r>
      <w:r>
        <w:rPr>
          <w:rFonts w:ascii="仿宋" w:hAnsi="仿宋" w:eastAsia="仿宋"/>
          <w:sz w:val="32"/>
          <w:szCs w:val="32"/>
        </w:rPr>
        <w:t>20</w:t>
      </w:r>
      <w:r>
        <w:rPr>
          <w:rFonts w:hint="eastAsia" w:ascii="仿宋" w:hAnsi="仿宋" w:eastAsia="仿宋"/>
          <w:sz w:val="32"/>
          <w:szCs w:val="32"/>
        </w:rPr>
        <w:t>21年本年</w:t>
      </w:r>
      <w:r>
        <w:rPr>
          <w:rFonts w:hint="eastAsia" w:ascii="仿宋" w:hAnsi="仿宋" w:eastAsia="仿宋"/>
          <w:sz w:val="32"/>
          <w:szCs w:val="32"/>
          <w:lang w:val="en-US" w:eastAsia="zh-CN"/>
        </w:rPr>
        <w:t>收</w:t>
      </w:r>
      <w:r>
        <w:rPr>
          <w:rFonts w:hint="eastAsia" w:ascii="仿宋" w:hAnsi="仿宋" w:eastAsia="仿宋"/>
          <w:sz w:val="32"/>
          <w:szCs w:val="32"/>
        </w:rPr>
        <w:t>支合计913.05万元</w:t>
      </w:r>
      <w:r>
        <w:rPr>
          <w:rFonts w:hint="eastAsia" w:ascii="仿宋" w:hAnsi="仿宋" w:eastAsia="仿宋"/>
          <w:sz w:val="32"/>
          <w:szCs w:val="32"/>
          <w:lang w:eastAsia="zh-CN"/>
        </w:rPr>
        <w:t>。</w:t>
      </w:r>
      <w:r>
        <w:rPr>
          <w:rFonts w:hint="eastAsia" w:ascii="仿宋" w:hAnsi="仿宋" w:eastAsia="仿宋"/>
          <w:sz w:val="32"/>
          <w:szCs w:val="32"/>
        </w:rPr>
        <w:t>与2020年相比，收、支总计各增加56.66万元，增长6.61</w:t>
      </w:r>
      <w:r>
        <w:rPr>
          <w:rFonts w:ascii="仿宋" w:hAnsi="仿宋" w:eastAsia="仿宋"/>
          <w:sz w:val="32"/>
          <w:szCs w:val="32"/>
        </w:rPr>
        <w:t>%</w:t>
      </w:r>
      <w:r>
        <w:rPr>
          <w:rFonts w:hint="eastAsia" w:ascii="仿宋" w:hAnsi="仿宋" w:eastAsia="仿宋"/>
          <w:sz w:val="32"/>
          <w:szCs w:val="32"/>
        </w:rPr>
        <w:t>。</w:t>
      </w:r>
    </w:p>
    <w:p>
      <w:pPr>
        <w:bidi w:val="0"/>
        <w:jc w:val="left"/>
        <w:rPr>
          <w:rFonts w:hint="eastAsia"/>
          <w:lang w:val="en-US" w:eastAsia="zh-CN"/>
        </w:rPr>
      </w:pPr>
    </w:p>
    <w:p>
      <w:pPr>
        <w:pStyle w:val="2"/>
        <w:spacing w:before="93" w:line="576" w:lineRule="exac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drawing>
          <wp:anchor distT="0" distB="0" distL="114300" distR="114300" simplePos="0" relativeHeight="251661312" behindDoc="0" locked="0" layoutInCell="1" allowOverlap="1">
            <wp:simplePos x="0" y="0"/>
            <wp:positionH relativeFrom="column">
              <wp:posOffset>730250</wp:posOffset>
            </wp:positionH>
            <wp:positionV relativeFrom="paragraph">
              <wp:posOffset>89535</wp:posOffset>
            </wp:positionV>
            <wp:extent cx="4040505" cy="3112135"/>
            <wp:effectExtent l="4445" t="5080" r="8890" b="69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s="黑体"/>
          <w:color w:val="000000" w:themeColor="text1"/>
          <w:sz w:val="32"/>
          <w:szCs w:val="32"/>
        </w:rPr>
        <w:t xml:space="preserve">        （图1：收、支决算总计变动情况图）</w:t>
      </w:r>
    </w:p>
    <w:p>
      <w:pPr>
        <w:pStyle w:val="2"/>
        <w:spacing w:before="93" w:line="576" w:lineRule="exact"/>
      </w:pPr>
    </w:p>
    <w:p>
      <w:pPr>
        <w:pStyle w:val="26"/>
        <w:numPr>
          <w:ilvl w:val="0"/>
          <w:numId w:val="2"/>
        </w:numPr>
        <w:spacing w:line="576" w:lineRule="exact"/>
        <w:ind w:firstLineChars="0"/>
        <w:outlineLvl w:val="1"/>
        <w:rPr>
          <w:rStyle w:val="28"/>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8"/>
          <w:rFonts w:hint="eastAsia" w:ascii="黑体" w:hAnsi="黑体" w:eastAsia="黑体"/>
          <w:b w:val="0"/>
        </w:rPr>
        <w:t>入决算情况说明</w:t>
      </w:r>
      <w:bookmarkEnd w:id="26"/>
      <w:bookmarkEnd w:id="27"/>
    </w:p>
    <w:p>
      <w:pPr>
        <w:spacing w:line="576"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21年本年收入合计908.05万元，其中：一般公共预算财政拨款收入908.05万元，占100</w:t>
      </w:r>
      <w:r>
        <w:rPr>
          <w:rFonts w:ascii="仿宋" w:hAnsi="仿宋" w:eastAsia="仿宋"/>
          <w:sz w:val="32"/>
          <w:szCs w:val="32"/>
        </w:rPr>
        <w:t>%</w:t>
      </w:r>
      <w:r>
        <w:rPr>
          <w:rFonts w:hint="eastAsia" w:ascii="仿宋" w:hAnsi="仿宋" w:eastAsia="仿宋"/>
          <w:sz w:val="32"/>
          <w:szCs w:val="32"/>
          <w:lang w:eastAsia="zh-CN"/>
        </w:rPr>
        <w:t>。</w:t>
      </w:r>
    </w:p>
    <w:p>
      <w:pPr>
        <w:pStyle w:val="3"/>
      </w:pPr>
      <w:r>
        <w:rPr>
          <w:rFonts w:hint="eastAsia"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319405</wp:posOffset>
            </wp:positionH>
            <wp:positionV relativeFrom="page">
              <wp:posOffset>2621915</wp:posOffset>
            </wp:positionV>
            <wp:extent cx="4707890" cy="2449830"/>
            <wp:effectExtent l="4445" t="4445" r="12065"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spacing w:before="93" w:line="576" w:lineRule="exact"/>
        <w:ind w:firstLine="2240" w:firstLineChars="700"/>
        <w:rPr>
          <w:rStyle w:val="28"/>
          <w:rFonts w:ascii="黑体" w:hAnsi="黑体" w:eastAsia="黑体"/>
          <w:b w:val="0"/>
        </w:rPr>
      </w:pPr>
      <w:bookmarkStart w:id="28" w:name="_Toc15396605"/>
      <w:bookmarkStart w:id="29" w:name="_Toc15377207"/>
      <w:r>
        <w:rPr>
          <w:rFonts w:hint="eastAsia" w:ascii="黑体" w:hAnsi="黑体" w:eastAsia="黑体" w:cs="黑体"/>
          <w:color w:val="000000" w:themeColor="text1"/>
          <w:sz w:val="32"/>
          <w:szCs w:val="32"/>
        </w:rPr>
        <w:t>（图2：收入决算结构图）</w:t>
      </w:r>
    </w:p>
    <w:p>
      <w:pPr>
        <w:pStyle w:val="26"/>
        <w:numPr>
          <w:ilvl w:val="0"/>
          <w:numId w:val="2"/>
        </w:numPr>
        <w:spacing w:line="576" w:lineRule="exact"/>
        <w:ind w:firstLineChars="0"/>
        <w:outlineLvl w:val="1"/>
        <w:rPr>
          <w:rStyle w:val="28"/>
          <w:rFonts w:ascii="黑体" w:hAnsi="黑体" w:eastAsia="黑体"/>
          <w:b w:val="0"/>
        </w:rPr>
      </w:pPr>
      <w:r>
        <w:rPr>
          <w:rFonts w:hint="eastAsia" w:ascii="黑体" w:hAnsi="黑体" w:eastAsia="黑体"/>
          <w:sz w:val="32"/>
          <w:szCs w:val="32"/>
        </w:rPr>
        <w:t>支</w:t>
      </w:r>
      <w:r>
        <w:rPr>
          <w:rStyle w:val="28"/>
          <w:rFonts w:hint="eastAsia" w:ascii="黑体" w:hAnsi="黑体" w:eastAsia="黑体"/>
          <w:b w:val="0"/>
        </w:rPr>
        <w:t>出决算情况说明</w:t>
      </w:r>
      <w:bookmarkEnd w:id="28"/>
      <w:bookmarkEnd w:id="29"/>
    </w:p>
    <w:p>
      <w:pPr>
        <w:spacing w:line="576" w:lineRule="exact"/>
        <w:ind w:firstLine="640" w:firstLineChars="200"/>
        <w:outlineLvl w:val="1"/>
        <w:rPr>
          <w:rFonts w:hint="eastAsia" w:ascii="仿宋" w:hAnsi="仿宋" w:eastAsia="仿宋"/>
          <w:sz w:val="32"/>
          <w:szCs w:val="32"/>
          <w:lang w:eastAsia="zh-CN"/>
        </w:rPr>
      </w:pPr>
      <w:r>
        <w:rPr>
          <w:rFonts w:hint="eastAsia" w:ascii="黑体" w:hAnsi="黑体" w:eastAsia="黑体" w:cs="黑体"/>
          <w:color w:val="000000" w:themeColor="text1"/>
          <w:sz w:val="32"/>
          <w:szCs w:val="32"/>
        </w:rPr>
        <w:drawing>
          <wp:anchor distT="0" distB="0" distL="114300" distR="114300" simplePos="0" relativeHeight="251662336" behindDoc="0" locked="0" layoutInCell="1" allowOverlap="1">
            <wp:simplePos x="0" y="0"/>
            <wp:positionH relativeFrom="column">
              <wp:posOffset>559435</wp:posOffset>
            </wp:positionH>
            <wp:positionV relativeFrom="paragraph">
              <wp:posOffset>866775</wp:posOffset>
            </wp:positionV>
            <wp:extent cx="4401185" cy="2453640"/>
            <wp:effectExtent l="4445" t="4445" r="13970" b="184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sz w:val="32"/>
          <w:szCs w:val="32"/>
        </w:rPr>
        <w:t>20</w:t>
      </w:r>
      <w:r>
        <w:rPr>
          <w:rFonts w:hint="eastAsia" w:ascii="仿宋" w:hAnsi="仿宋" w:eastAsia="仿宋"/>
          <w:sz w:val="32"/>
          <w:szCs w:val="32"/>
        </w:rPr>
        <w:t>21年本年支出合计913.05万元，其中：基本支出682.88万元，占74.79</w:t>
      </w:r>
      <w:r>
        <w:rPr>
          <w:rFonts w:ascii="仿宋" w:hAnsi="仿宋" w:eastAsia="仿宋"/>
          <w:sz w:val="32"/>
          <w:szCs w:val="32"/>
        </w:rPr>
        <w:t>%</w:t>
      </w:r>
      <w:r>
        <w:rPr>
          <w:rFonts w:hint="eastAsia" w:ascii="仿宋" w:hAnsi="仿宋" w:eastAsia="仿宋"/>
          <w:sz w:val="32"/>
          <w:szCs w:val="32"/>
        </w:rPr>
        <w:t>；项目支出230.17万元，占25.21</w:t>
      </w:r>
      <w:r>
        <w:rPr>
          <w:rFonts w:ascii="仿宋" w:hAnsi="仿宋" w:eastAsia="仿宋"/>
          <w:sz w:val="32"/>
          <w:szCs w:val="32"/>
        </w:rPr>
        <w:t>%</w:t>
      </w:r>
      <w:r>
        <w:rPr>
          <w:rFonts w:hint="eastAsia" w:ascii="仿宋" w:hAnsi="仿宋" w:eastAsia="仿宋"/>
          <w:sz w:val="32"/>
          <w:szCs w:val="32"/>
          <w:lang w:eastAsia="zh-CN"/>
        </w:rPr>
        <w:t>。</w:t>
      </w:r>
    </w:p>
    <w:p>
      <w:pPr>
        <w:spacing w:line="576" w:lineRule="exact"/>
        <w:jc w:val="center"/>
        <w:rPr>
          <w:rFonts w:ascii="仿宋" w:hAnsi="仿宋" w:eastAsia="仿宋"/>
          <w:sz w:val="32"/>
          <w:szCs w:val="32"/>
        </w:rPr>
      </w:pPr>
      <w:r>
        <w:rPr>
          <w:rFonts w:hint="eastAsia" w:ascii="黑体" w:hAnsi="黑体" w:eastAsia="黑体" w:cs="黑体"/>
          <w:color w:val="000000" w:themeColor="text1"/>
          <w:sz w:val="32"/>
          <w:szCs w:val="32"/>
        </w:rPr>
        <w:t>（图3：支出决算结构图）</w:t>
      </w:r>
    </w:p>
    <w:p>
      <w:pPr>
        <w:spacing w:line="576"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0"/>
      <w:bookmarkEnd w:id="31"/>
    </w:p>
    <w:p>
      <w:pPr>
        <w:spacing w:line="576" w:lineRule="exact"/>
        <w:ind w:firstLine="640"/>
        <w:rPr>
          <w:rFonts w:hint="eastAsia" w:ascii="仿宋" w:hAnsi="仿宋" w:eastAsia="仿宋"/>
          <w:b/>
          <w:bCs/>
          <w:sz w:val="32"/>
          <w:szCs w:val="32"/>
        </w:rPr>
      </w:pPr>
      <w:r>
        <w:rPr>
          <w:rFonts w:hint="eastAsia" w:ascii="黑体" w:hAnsi="黑体" w:eastAsia="黑体" w:cs="黑体"/>
          <w:b/>
          <w:bCs/>
          <w:color w:val="000000" w:themeColor="text1"/>
          <w:sz w:val="32"/>
          <w:szCs w:val="32"/>
        </w:rPr>
        <w:drawing>
          <wp:anchor distT="0" distB="0" distL="114300" distR="114300" simplePos="0" relativeHeight="251663360" behindDoc="0" locked="0" layoutInCell="1" allowOverlap="1">
            <wp:simplePos x="0" y="0"/>
            <wp:positionH relativeFrom="column">
              <wp:posOffset>51435</wp:posOffset>
            </wp:positionH>
            <wp:positionV relativeFrom="paragraph">
              <wp:posOffset>953135</wp:posOffset>
            </wp:positionV>
            <wp:extent cx="5100955" cy="2828290"/>
            <wp:effectExtent l="4445" t="4445" r="12700" b="1206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2021年度收、支总计913.05万元。与2020年相比，收、支总计各增加56.66万元，增长6.61</w:t>
      </w:r>
      <w:r>
        <w:rPr>
          <w:rFonts w:ascii="仿宋" w:hAnsi="仿宋" w:eastAsia="仿宋"/>
          <w:sz w:val="32"/>
          <w:szCs w:val="32"/>
        </w:rPr>
        <w:t>%</w:t>
      </w:r>
      <w:r>
        <w:rPr>
          <w:rFonts w:hint="eastAsia" w:ascii="仿宋" w:hAnsi="仿宋" w:eastAsia="仿宋"/>
          <w:sz w:val="32"/>
          <w:szCs w:val="32"/>
        </w:rPr>
        <w:t>。</w:t>
      </w:r>
    </w:p>
    <w:p>
      <w:pPr>
        <w:pStyle w:val="3"/>
        <w:spacing w:line="576" w:lineRule="exact"/>
        <w:jc w:val="center"/>
        <w:rPr>
          <w:rFonts w:ascii="仿宋" w:hAnsi="仿宋" w:eastAsia="仿宋"/>
          <w:b/>
          <w:bCs/>
          <w:sz w:val="32"/>
          <w:szCs w:val="32"/>
        </w:rPr>
      </w:pPr>
      <w:r>
        <w:rPr>
          <w:rFonts w:hint="eastAsia" w:ascii="仿宋" w:hAnsi="仿宋" w:eastAsia="仿宋"/>
          <w:b/>
          <w:bCs/>
          <w:sz w:val="32"/>
          <w:szCs w:val="32"/>
        </w:rPr>
        <w:t>（图4：财政拨款收、支决算总计变动情况）</w:t>
      </w:r>
    </w:p>
    <w:p>
      <w:pPr>
        <w:spacing w:line="576" w:lineRule="exact"/>
        <w:ind w:firstLine="640" w:firstLineChars="200"/>
        <w:outlineLvl w:val="1"/>
        <w:rPr>
          <w:rStyle w:val="28"/>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2"/>
      <w:bookmarkEnd w:id="33"/>
    </w:p>
    <w:p>
      <w:pPr>
        <w:spacing w:line="576"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576"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21年一般公共预算财政拨款支出总计913.05万元。与2020年相比，支总计增加56.66万元，增长6.61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w:t>
      </w:r>
      <w:r>
        <w:rPr>
          <w:rFonts w:hint="eastAsia" w:ascii="仿宋" w:hAnsi="仿宋" w:eastAsia="仿宋"/>
          <w:sz w:val="32"/>
          <w:szCs w:val="32"/>
        </w:rPr>
        <w:t>主要变动原因是村社区工资调整，收支增加14.17万元，石龙工业园区指挥部成立项目经费，收支增加20万元，石龙街道机关办公楼搬迁经费，收支增加30万元，开展村社换届审计业务费，收支增加14万元，对农村交通运输经费较少20万元，其他经费1.5万元。）</w:t>
      </w:r>
    </w:p>
    <w:p>
      <w:pPr>
        <w:pStyle w:val="3"/>
        <w:spacing w:line="576" w:lineRule="exact"/>
        <w:jc w:val="both"/>
        <w:rPr>
          <w:rFonts w:hint="eastAsia" w:ascii="仿宋" w:hAnsi="仿宋" w:eastAsia="仿宋"/>
          <w:b/>
          <w:bCs/>
          <w:sz w:val="32"/>
          <w:szCs w:val="32"/>
        </w:rPr>
      </w:pPr>
      <w:bookmarkStart w:id="35" w:name="_Toc15377211"/>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170180</wp:posOffset>
            </wp:positionH>
            <wp:positionV relativeFrom="page">
              <wp:posOffset>1205230</wp:posOffset>
            </wp:positionV>
            <wp:extent cx="4848860" cy="3571240"/>
            <wp:effectExtent l="4445" t="4445" r="10795" b="571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3"/>
        <w:spacing w:line="576" w:lineRule="exact"/>
        <w:jc w:val="center"/>
        <w:rPr>
          <w:rFonts w:ascii="仿宋" w:hAnsi="仿宋" w:eastAsia="仿宋"/>
          <w:b/>
          <w:bCs/>
          <w:sz w:val="32"/>
          <w:szCs w:val="32"/>
        </w:rPr>
      </w:pPr>
      <w:r>
        <w:rPr>
          <w:rFonts w:hint="eastAsia" w:ascii="仿宋" w:hAnsi="仿宋" w:eastAsia="仿宋"/>
          <w:b/>
          <w:bCs/>
          <w:sz w:val="32"/>
          <w:szCs w:val="32"/>
        </w:rPr>
        <w:t>（图5：一般公共预算财政拨款支出决算变动情况）</w:t>
      </w:r>
    </w:p>
    <w:p>
      <w:pPr>
        <w:spacing w:line="576" w:lineRule="exact"/>
        <w:ind w:firstLine="321" w:firstLineChars="1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spacing w:line="576" w:lineRule="exact"/>
        <w:ind w:firstLine="640"/>
        <w:rPr>
          <w:rFonts w:ascii="黑体" w:hAnsi="黑体" w:eastAsia="黑体" w:cs="黑体"/>
          <w:color w:val="000000" w:themeColor="text1"/>
          <w:sz w:val="32"/>
          <w:szCs w:val="32"/>
        </w:rPr>
      </w:pPr>
      <w:r>
        <w:rPr>
          <w:rFonts w:ascii="仿宋" w:hAnsi="仿宋" w:eastAsia="仿宋"/>
          <w:sz w:val="32"/>
          <w:szCs w:val="32"/>
        </w:rPr>
        <w:t>20</w:t>
      </w:r>
      <w:r>
        <w:rPr>
          <w:rFonts w:hint="eastAsia" w:ascii="仿宋" w:hAnsi="仿宋" w:eastAsia="仿宋"/>
          <w:sz w:val="32"/>
          <w:szCs w:val="32"/>
        </w:rPr>
        <w:t>21年一般公共预算财政拨款支出913.05万元，主要用于以下方面</w:t>
      </w:r>
      <w:r>
        <w:rPr>
          <w:rFonts w:hint="eastAsia" w:ascii="仿宋_GB2312" w:hAnsi="仿宋_GB2312" w:eastAsia="仿宋_GB2312" w:cs="仿宋_GB2312"/>
          <w:color w:val="000000"/>
          <w:sz w:val="32"/>
          <w:szCs w:val="32"/>
        </w:rPr>
        <w:t>:一般公共服务（类）支</w:t>
      </w:r>
      <w:r>
        <w:rPr>
          <w:rFonts w:hint="eastAsia" w:ascii="仿宋" w:hAnsi="仿宋" w:eastAsia="仿宋"/>
          <w:sz w:val="32"/>
          <w:szCs w:val="32"/>
        </w:rPr>
        <w:t>出453.58万元，占49.67</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color w:val="000000"/>
          <w:sz w:val="32"/>
          <w:szCs w:val="32"/>
        </w:rPr>
        <w:t>公共安全支出7万元，占0.77%；社会保障和就业支出27.88万元，占3.05%；卫生健康支出10.99万元，占1.20%；城区社区支出9万元，占0.99%；农林水支出358.05万元，占39.21%；交通运输1万元，占0.11%；住房保障支出26.69万元，占2.92%；灾害防治及应急管理支出18.87万元，占2.07%。</w:t>
      </w:r>
    </w:p>
    <w:p>
      <w:pPr>
        <w:spacing w:line="576" w:lineRule="exact"/>
        <w:jc w:val="center"/>
        <w:rPr>
          <w:rFonts w:ascii="仿宋" w:hAnsi="仿宋" w:eastAsia="仿宋"/>
          <w:b/>
          <w:sz w:val="32"/>
          <w:szCs w:val="32"/>
        </w:rPr>
      </w:pPr>
      <w:r>
        <w:rPr>
          <w:rFonts w:hint="eastAsia" w:ascii="仿宋" w:hAnsi="仿宋" w:eastAsia="仿宋"/>
          <w:color w:val="000000" w:themeColor="text1"/>
          <w:sz w:val="32"/>
          <w:szCs w:val="32"/>
        </w:rPr>
        <w:drawing>
          <wp:anchor distT="0" distB="0" distL="114300" distR="114300" simplePos="0" relativeHeight="251664384" behindDoc="0" locked="0" layoutInCell="1" allowOverlap="1">
            <wp:simplePos x="0" y="0"/>
            <wp:positionH relativeFrom="column">
              <wp:posOffset>33020</wp:posOffset>
            </wp:positionH>
            <wp:positionV relativeFrom="paragraph">
              <wp:posOffset>194945</wp:posOffset>
            </wp:positionV>
            <wp:extent cx="5134610" cy="2649220"/>
            <wp:effectExtent l="4445" t="4445" r="23495" b="1333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36" w:name="_Toc15377212"/>
      <w:r>
        <w:rPr>
          <w:rFonts w:hint="eastAsia" w:ascii="仿宋" w:hAnsi="仿宋" w:eastAsia="仿宋"/>
          <w:b/>
          <w:sz w:val="32"/>
          <w:szCs w:val="32"/>
        </w:rPr>
        <w:t>(图六</w:t>
      </w:r>
      <w:r>
        <w:rPr>
          <w:rFonts w:hint="eastAsia" w:ascii="黑体" w:hAnsi="黑体" w:eastAsia="黑体" w:cs="黑体"/>
          <w:color w:val="000000" w:themeColor="text1"/>
          <w:sz w:val="32"/>
          <w:szCs w:val="32"/>
        </w:rPr>
        <w:t>一般公共预算财政拨款支出决算结构</w:t>
      </w:r>
      <w:r>
        <w:rPr>
          <w:rFonts w:hint="eastAsia" w:ascii="仿宋" w:hAnsi="仿宋" w:eastAsia="仿宋"/>
          <w:b/>
          <w:sz w:val="32"/>
          <w:szCs w:val="32"/>
        </w:rPr>
        <w:t>)</w:t>
      </w:r>
    </w:p>
    <w:p>
      <w:pPr>
        <w:spacing w:line="576" w:lineRule="exact"/>
        <w:ind w:firstLine="642"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6"/>
    </w:p>
    <w:p>
      <w:pPr>
        <w:widowControl/>
        <w:spacing w:line="576" w:lineRule="exact"/>
        <w:ind w:firstLine="640" w:firstLineChars="200"/>
        <w:rPr>
          <w:rFonts w:ascii="楷体_GB2312" w:hAnsi="楷体_GB2312" w:eastAsia="楷体_GB2312" w:cs="楷体_GB2312"/>
          <w:color w:val="000000"/>
          <w:sz w:val="32"/>
          <w:szCs w:val="32"/>
        </w:rPr>
      </w:pPr>
      <w:bookmarkStart w:id="37" w:name="_Toc15378460"/>
      <w:bookmarkStart w:id="38" w:name="_Toc15377444"/>
      <w:bookmarkStart w:id="39" w:name="_Toc15377213"/>
      <w:r>
        <w:rPr>
          <w:rFonts w:hint="eastAsia" w:ascii="楷体_GB2312" w:hAnsi="楷体_GB2312" w:eastAsia="楷体_GB2312" w:cs="楷体_GB2312"/>
          <w:color w:val="000000"/>
          <w:sz w:val="32"/>
          <w:szCs w:val="32"/>
        </w:rPr>
        <w:t>2021年一般公共预算支出决算数为913.05万元，完成预算100%。其中：</w:t>
      </w:r>
      <w:bookmarkEnd w:id="37"/>
      <w:bookmarkEnd w:id="38"/>
      <w:bookmarkEnd w:id="39"/>
    </w:p>
    <w:p>
      <w:pPr>
        <w:widowControl/>
        <w:spacing w:line="576" w:lineRule="exact"/>
        <w:ind w:firstLine="640" w:firstLineChars="200"/>
        <w:rPr>
          <w:rStyle w:val="17"/>
          <w:rFonts w:ascii="仿宋_GB2312" w:eastAsia="仿宋_GB2312"/>
          <w:b w:val="0"/>
          <w:color w:val="000000"/>
          <w:sz w:val="32"/>
          <w:szCs w:val="32"/>
        </w:rPr>
      </w:pPr>
      <w:r>
        <w:rPr>
          <w:rFonts w:hint="eastAsia" w:ascii="楷体_GB2312" w:hAnsi="楷体_GB2312" w:eastAsia="楷体_GB2312" w:cs="楷体_GB2312"/>
          <w:color w:val="000000"/>
          <w:sz w:val="32"/>
          <w:szCs w:val="32"/>
        </w:rPr>
        <w:t>1.一般公共服务支出（类）201，支出决算为453.58万元，完成预算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lang w:val="en-US" w:eastAsia="zh-CN"/>
        </w:rPr>
        <w:t>其中：</w:t>
      </w:r>
      <w:r>
        <w:rPr>
          <w:rFonts w:hint="eastAsia" w:ascii="仿宋_GB2312" w:hAnsi="仿宋_GB2312" w:eastAsia="仿宋_GB2312" w:cs="仿宋_GB2312"/>
          <w:kern w:val="0"/>
          <w:sz w:val="32"/>
          <w:szCs w:val="32"/>
        </w:rPr>
        <w:t>政府办公厅（室）及相关机构事务（款）</w:t>
      </w:r>
      <w:r>
        <w:rPr>
          <w:rFonts w:hint="eastAsia" w:ascii="仿宋_GB2312" w:hAnsi="仿宋_GB2312" w:eastAsia="仿宋_GB2312" w:cs="仿宋_GB2312"/>
          <w:kern w:val="0"/>
          <w:sz w:val="32"/>
          <w:szCs w:val="32"/>
          <w:lang w:val="en-US" w:eastAsia="zh-CN"/>
        </w:rPr>
        <w:t>03，支出决算为293.29万元；</w:t>
      </w:r>
      <w:r>
        <w:rPr>
          <w:rStyle w:val="17"/>
          <w:rFonts w:hint="eastAsia" w:ascii="仿宋_GB2312" w:eastAsia="仿宋_GB2312"/>
          <w:b w:val="0"/>
          <w:color w:val="000000"/>
          <w:sz w:val="32"/>
          <w:szCs w:val="32"/>
        </w:rPr>
        <w:t>其中：</w:t>
      </w:r>
      <w:r>
        <w:rPr>
          <w:rFonts w:hint="eastAsia" w:ascii="仿宋_GB2312" w:hAnsi="仿宋_GB2312" w:eastAsia="仿宋_GB2312" w:cs="仿宋_GB2312"/>
          <w:kern w:val="0"/>
          <w:sz w:val="32"/>
          <w:szCs w:val="32"/>
        </w:rPr>
        <w:t>行政运行（项）01</w:t>
      </w:r>
      <w:r>
        <w:rPr>
          <w:rStyle w:val="17"/>
          <w:rFonts w:hint="eastAsia" w:ascii="仿宋_GB2312" w:eastAsia="仿宋_GB2312"/>
          <w:b w:val="0"/>
          <w:color w:val="000000"/>
          <w:sz w:val="32"/>
          <w:szCs w:val="32"/>
        </w:rPr>
        <w:t>:支出决算为192.28万元</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rPr>
        <w:t>一般行政管理事务（项）02</w:t>
      </w:r>
      <w:r>
        <w:rPr>
          <w:rStyle w:val="17"/>
          <w:rFonts w:hint="eastAsia" w:ascii="仿宋_GB2312" w:eastAsia="仿宋_GB2312"/>
          <w:b w:val="0"/>
          <w:color w:val="000000"/>
          <w:sz w:val="32"/>
          <w:szCs w:val="32"/>
        </w:rPr>
        <w:t>:支出决算为61.65万元</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rPr>
        <w:t>机关服务（项）03</w:t>
      </w:r>
      <w:r>
        <w:rPr>
          <w:rStyle w:val="17"/>
          <w:rFonts w:hint="eastAsia" w:ascii="仿宋_GB2312" w:eastAsia="仿宋_GB2312"/>
          <w:b w:val="0"/>
          <w:color w:val="000000"/>
          <w:sz w:val="32"/>
          <w:szCs w:val="32"/>
        </w:rPr>
        <w:t>:支出决算为9.36万元</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rPr>
        <w:t>其他政府办公厅（室）及相关机构事务支出（项）99</w:t>
      </w:r>
      <w:r>
        <w:rPr>
          <w:rStyle w:val="17"/>
          <w:rFonts w:hint="eastAsia" w:ascii="仿宋_GB2312" w:eastAsia="仿宋_GB2312"/>
          <w:b w:val="0"/>
          <w:color w:val="000000"/>
          <w:sz w:val="32"/>
          <w:szCs w:val="32"/>
        </w:rPr>
        <w:t>:支出决算为30万元</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rPr>
        <w:t>201发展与改革事务（款）04</w:t>
      </w:r>
      <w:r>
        <w:rPr>
          <w:rFonts w:hint="eastAsia" w:ascii="仿宋_GB2312" w:eastAsia="仿宋_GB2312"/>
          <w:color w:val="000000"/>
          <w:sz w:val="32"/>
          <w:szCs w:val="32"/>
        </w:rPr>
        <w:t>日常经济运行调节（项）05</w:t>
      </w:r>
      <w:r>
        <w:rPr>
          <w:rStyle w:val="17"/>
          <w:rFonts w:hint="eastAsia" w:ascii="仿宋_GB2312" w:eastAsia="仿宋_GB2312"/>
          <w:b w:val="0"/>
          <w:color w:val="000000"/>
          <w:sz w:val="32"/>
          <w:szCs w:val="32"/>
        </w:rPr>
        <w:t>：支出决算为31万元</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rPr>
        <w:t>审计事务（款）08</w:t>
      </w:r>
      <w:r>
        <w:rPr>
          <w:rFonts w:hint="eastAsia" w:ascii="仿宋_GB2312" w:eastAsia="仿宋_GB2312"/>
          <w:color w:val="000000"/>
          <w:sz w:val="32"/>
          <w:szCs w:val="32"/>
        </w:rPr>
        <w:t>审计业务（项）04</w:t>
      </w:r>
      <w:r>
        <w:rPr>
          <w:rStyle w:val="17"/>
          <w:rFonts w:hint="eastAsia" w:ascii="仿宋_GB2312" w:eastAsia="仿宋_GB2312"/>
          <w:b w:val="0"/>
          <w:color w:val="000000"/>
          <w:sz w:val="32"/>
          <w:szCs w:val="32"/>
        </w:rPr>
        <w:t>：支出决算为14万元</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rPr>
        <w:t>201纪检监察事务（款）08</w:t>
      </w:r>
      <w:r>
        <w:rPr>
          <w:rFonts w:hint="eastAsia" w:ascii="仿宋_GB2312" w:eastAsia="仿宋_GB2312"/>
          <w:color w:val="000000"/>
          <w:sz w:val="32"/>
          <w:szCs w:val="32"/>
        </w:rPr>
        <w:t>一般行政管理事务（项）04</w:t>
      </w:r>
      <w:r>
        <w:rPr>
          <w:rStyle w:val="17"/>
          <w:rFonts w:hint="eastAsia" w:ascii="仿宋_GB2312" w:eastAsia="仿宋_GB2312"/>
          <w:b w:val="0"/>
          <w:color w:val="000000"/>
          <w:sz w:val="32"/>
          <w:szCs w:val="32"/>
        </w:rPr>
        <w:t>：支出决算为2万元</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rPr>
        <w:t>201群众团体事务（款）29</w:t>
      </w:r>
      <w:r>
        <w:rPr>
          <w:rFonts w:hint="eastAsia" w:ascii="仿宋_GB2312" w:eastAsia="仿宋_GB2312"/>
          <w:color w:val="000000"/>
          <w:sz w:val="32"/>
          <w:szCs w:val="32"/>
        </w:rPr>
        <w:t xml:space="preserve">  其他群众团体事务支出（项）99</w:t>
      </w:r>
      <w:r>
        <w:rPr>
          <w:rStyle w:val="17"/>
          <w:rFonts w:hint="eastAsia" w:ascii="仿宋_GB2312" w:eastAsia="仿宋_GB2312"/>
          <w:b w:val="0"/>
          <w:color w:val="000000"/>
          <w:sz w:val="32"/>
          <w:szCs w:val="32"/>
        </w:rPr>
        <w:t>：支出决算为1万元</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rPr>
        <w:t>201</w:t>
      </w:r>
      <w:r>
        <w:rPr>
          <w:rFonts w:hint="eastAsia" w:ascii="仿宋_GB2312" w:eastAsia="仿宋_GB2312"/>
          <w:color w:val="000000"/>
          <w:sz w:val="32"/>
          <w:szCs w:val="32"/>
        </w:rPr>
        <w:t>组织事务（款）32一般行政管理（项）02</w:t>
      </w:r>
      <w:r>
        <w:rPr>
          <w:rStyle w:val="17"/>
          <w:rFonts w:hint="eastAsia" w:ascii="仿宋_GB2312" w:eastAsia="仿宋_GB2312"/>
          <w:b w:val="0"/>
          <w:color w:val="000000"/>
          <w:sz w:val="32"/>
          <w:szCs w:val="32"/>
        </w:rPr>
        <w:t>：</w:t>
      </w:r>
      <w:r>
        <w:rPr>
          <w:rStyle w:val="17"/>
          <w:rFonts w:hint="eastAsia" w:ascii="仿宋_GB2312" w:eastAsia="仿宋_GB2312"/>
          <w:b w:val="0"/>
          <w:color w:val="000000"/>
          <w:sz w:val="32"/>
          <w:szCs w:val="32"/>
          <w:lang w:val="en-US" w:eastAsia="zh-CN"/>
        </w:rPr>
        <w:t>支出7.75万元</w:t>
      </w:r>
      <w:r>
        <w:rPr>
          <w:rStyle w:val="17"/>
          <w:rFonts w:hint="eastAsia" w:ascii="仿宋_GB2312" w:eastAsia="仿宋_GB2312"/>
          <w:b w:val="0"/>
          <w:color w:val="000000"/>
          <w:sz w:val="32"/>
          <w:szCs w:val="32"/>
          <w:lang w:eastAsia="zh-CN"/>
        </w:rPr>
        <w:t>；</w:t>
      </w:r>
      <w:r>
        <w:rPr>
          <w:rFonts w:hint="eastAsia" w:ascii="仿宋_GB2312" w:hAnsi="仿宋_GB2312" w:eastAsia="仿宋_GB2312" w:cs="仿宋_GB2312"/>
          <w:kern w:val="0"/>
          <w:sz w:val="32"/>
          <w:szCs w:val="32"/>
        </w:rPr>
        <w:t>201</w:t>
      </w:r>
      <w:r>
        <w:rPr>
          <w:rFonts w:hint="eastAsia" w:ascii="仿宋_GB2312" w:eastAsia="仿宋_GB2312"/>
          <w:color w:val="000000"/>
          <w:sz w:val="32"/>
          <w:szCs w:val="32"/>
        </w:rPr>
        <w:t>市场监督管理事务（款）38</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其他市场监督管理事务（项）99</w:t>
      </w:r>
      <w:r>
        <w:rPr>
          <w:rStyle w:val="17"/>
          <w:rFonts w:hint="eastAsia" w:ascii="仿宋_GB2312" w:eastAsia="仿宋_GB2312"/>
          <w:b w:val="0"/>
          <w:color w:val="000000"/>
          <w:sz w:val="32"/>
          <w:szCs w:val="32"/>
          <w:lang w:val="en-US" w:eastAsia="zh-CN"/>
        </w:rPr>
        <w:t>支出2万元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其他一般公共服务支出（款）99其他一般公共服务支出（项）99</w:t>
      </w:r>
      <w:r>
        <w:rPr>
          <w:rStyle w:val="17"/>
          <w:rFonts w:hint="eastAsia" w:ascii="仿宋_GB2312" w:eastAsia="仿宋_GB2312"/>
          <w:b w:val="0"/>
          <w:color w:val="000000"/>
          <w:sz w:val="32"/>
          <w:szCs w:val="32"/>
        </w:rPr>
        <w:t>：支出决算为102.54万元。</w:t>
      </w:r>
    </w:p>
    <w:p>
      <w:pPr>
        <w:spacing w:line="576" w:lineRule="exact"/>
        <w:ind w:firstLine="320" w:firstLineChars="100"/>
      </w:pPr>
      <w:r>
        <w:rPr>
          <w:rFonts w:hint="eastAsia" w:ascii="楷体_GB2312" w:hAnsi="楷体_GB2312" w:eastAsia="楷体_GB2312" w:cs="楷体_GB2312"/>
          <w:color w:val="000000"/>
          <w:sz w:val="32"/>
          <w:szCs w:val="32"/>
        </w:rPr>
        <w:t>2.公共安全支出（类）204，支出决算为7万元，完成预算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r>
        <w:rPr>
          <w:rStyle w:val="17"/>
          <w:rFonts w:hint="eastAsia" w:ascii="仿宋_GB2312" w:eastAsia="仿宋_GB2312"/>
          <w:b w:val="0"/>
          <w:color w:val="000000"/>
          <w:sz w:val="32"/>
          <w:szCs w:val="32"/>
          <w:lang w:val="en-US" w:eastAsia="zh-CN"/>
        </w:rPr>
        <w:t>其中：</w:t>
      </w:r>
      <w:r>
        <w:rPr>
          <w:rFonts w:hint="eastAsia" w:ascii="仿宋_GB2312" w:eastAsia="仿宋_GB2312"/>
          <w:color w:val="000000"/>
          <w:sz w:val="32"/>
          <w:szCs w:val="32"/>
        </w:rPr>
        <w:t>国家安全（款）03其他国家安全支出（项）99</w:t>
      </w:r>
      <w:r>
        <w:rPr>
          <w:rStyle w:val="17"/>
          <w:rFonts w:hint="eastAsia" w:ascii="仿宋_GB2312" w:eastAsia="仿宋_GB2312"/>
          <w:b w:val="0"/>
          <w:color w:val="000000"/>
          <w:sz w:val="32"/>
          <w:szCs w:val="32"/>
        </w:rPr>
        <w:t>：支出决算为5万元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司法（款）06普法宣传（项）05</w:t>
      </w:r>
      <w:r>
        <w:rPr>
          <w:rStyle w:val="17"/>
          <w:rFonts w:hint="eastAsia" w:ascii="仿宋_GB2312" w:eastAsia="仿宋_GB2312"/>
          <w:b w:val="0"/>
          <w:color w:val="000000"/>
          <w:sz w:val="32"/>
          <w:szCs w:val="32"/>
        </w:rPr>
        <w:t>：支出决算为2万元。</w:t>
      </w:r>
    </w:p>
    <w:p>
      <w:pPr>
        <w:spacing w:line="576" w:lineRule="exact"/>
        <w:ind w:firstLine="320" w:firstLineChars="100"/>
        <w:rPr>
          <w:rStyle w:val="17"/>
          <w:rFonts w:ascii="仿宋_GB2312" w:eastAsia="仿宋_GB2312"/>
          <w:b w:val="0"/>
          <w:color w:val="000000"/>
          <w:sz w:val="32"/>
          <w:szCs w:val="32"/>
        </w:rPr>
      </w:pPr>
      <w:r>
        <w:rPr>
          <w:rFonts w:hint="eastAsia" w:ascii="楷体_GB2312" w:hAnsi="楷体_GB2312" w:eastAsia="楷体_GB2312" w:cs="楷体_GB2312"/>
          <w:sz w:val="32"/>
          <w:szCs w:val="32"/>
        </w:rPr>
        <w:t>3.社会保障和就业支出（类）208，支出决算为27.88万元，完成预算</w:t>
      </w:r>
      <w:r>
        <w:rPr>
          <w:rStyle w:val="17"/>
          <w:rFonts w:hint="eastAsia" w:ascii="仿宋_GB2312" w:eastAsia="仿宋_GB2312"/>
          <w:b w:val="0"/>
          <w:sz w:val="32"/>
          <w:szCs w:val="32"/>
        </w:rPr>
        <w:t>100%</w:t>
      </w:r>
      <w:r>
        <w:rPr>
          <w:rStyle w:val="17"/>
          <w:rFonts w:hint="eastAsia" w:ascii="仿宋_GB2312" w:eastAsia="仿宋_GB2312"/>
          <w:b w:val="0"/>
          <w:sz w:val="32"/>
          <w:szCs w:val="32"/>
          <w:lang w:eastAsia="zh-CN"/>
        </w:rPr>
        <w:t>。</w:t>
      </w:r>
      <w:r>
        <w:rPr>
          <w:rFonts w:hint="eastAsia" w:ascii="仿宋_GB2312" w:eastAsia="仿宋_GB2312"/>
          <w:color w:val="000000"/>
          <w:sz w:val="32"/>
          <w:szCs w:val="32"/>
        </w:rPr>
        <w:t>行政事业单位养老支出（款）05</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支出决算为27.88万元。其中：</w:t>
      </w:r>
      <w:r>
        <w:rPr>
          <w:rFonts w:hint="eastAsia" w:ascii="仿宋_GB2312" w:eastAsia="仿宋_GB2312"/>
          <w:color w:val="000000"/>
          <w:sz w:val="32"/>
          <w:szCs w:val="32"/>
        </w:rPr>
        <w:t>机关事业单位基本养老保险缴费支出（项）05</w:t>
      </w:r>
      <w:r>
        <w:rPr>
          <w:rStyle w:val="17"/>
          <w:rFonts w:hint="eastAsia" w:ascii="仿宋_GB2312" w:eastAsia="仿宋_GB2312"/>
          <w:b w:val="0"/>
          <w:color w:val="000000"/>
          <w:sz w:val="32"/>
          <w:szCs w:val="32"/>
        </w:rPr>
        <w:t>：支出决算为21.97万元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机关事业单位职业年金缴费支出（项）06</w:t>
      </w:r>
      <w:r>
        <w:rPr>
          <w:rStyle w:val="17"/>
          <w:rFonts w:hint="eastAsia" w:ascii="仿宋_GB2312" w:eastAsia="仿宋_GB2312"/>
          <w:b w:val="0"/>
          <w:color w:val="000000"/>
          <w:sz w:val="32"/>
          <w:szCs w:val="32"/>
        </w:rPr>
        <w:t>：支出决算为5.91万元。</w:t>
      </w:r>
    </w:p>
    <w:p>
      <w:pPr>
        <w:spacing w:line="576" w:lineRule="exact"/>
        <w:ind w:firstLine="320" w:firstLineChars="100"/>
        <w:rPr>
          <w:rStyle w:val="17"/>
          <w:rFonts w:ascii="仿宋_GB2312" w:eastAsia="仿宋_GB2312"/>
          <w:b w:val="0"/>
          <w:color w:val="000000"/>
          <w:sz w:val="32"/>
          <w:szCs w:val="32"/>
        </w:rPr>
      </w:pPr>
      <w:r>
        <w:rPr>
          <w:rFonts w:hint="eastAsia" w:ascii="楷体_GB2312" w:hAnsi="楷体_GB2312" w:eastAsia="楷体_GB2312" w:cs="楷体_GB2312"/>
          <w:color w:val="000000"/>
          <w:sz w:val="32"/>
          <w:szCs w:val="32"/>
        </w:rPr>
        <w:t>4.卫生健康支出（类）210，支出决算为10.99万元，完成预算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行政事业单位医疗（类）11行政单位医疗（项）01</w:t>
      </w:r>
      <w:r>
        <w:rPr>
          <w:rStyle w:val="17"/>
          <w:rFonts w:hint="eastAsia" w:ascii="仿宋_GB2312" w:eastAsia="仿宋_GB2312"/>
          <w:b w:val="0"/>
          <w:color w:val="000000"/>
          <w:sz w:val="32"/>
          <w:szCs w:val="32"/>
        </w:rPr>
        <w:t>：支出决算为10.99万元。</w:t>
      </w:r>
    </w:p>
    <w:p>
      <w:pPr>
        <w:spacing w:line="576" w:lineRule="exact"/>
        <w:ind w:firstLine="320" w:firstLineChars="100"/>
        <w:rPr>
          <w:rStyle w:val="17"/>
          <w:rFonts w:ascii="仿宋_GB2312" w:eastAsia="仿宋_GB2312"/>
          <w:b w:val="0"/>
          <w:color w:val="000000"/>
          <w:sz w:val="32"/>
          <w:szCs w:val="32"/>
        </w:rPr>
      </w:pPr>
      <w:r>
        <w:rPr>
          <w:rFonts w:hint="eastAsia" w:ascii="楷体_GB2312" w:hAnsi="楷体_GB2312" w:eastAsia="楷体_GB2312" w:cs="楷体_GB2312"/>
          <w:color w:val="000000"/>
          <w:sz w:val="32"/>
          <w:szCs w:val="32"/>
        </w:rPr>
        <w:t>5.城乡社区支出（类）212，支出决算为9万元，完成预算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r>
        <w:rPr>
          <w:rStyle w:val="17"/>
          <w:rFonts w:hint="eastAsia" w:ascii="仿宋_GB2312" w:eastAsia="仿宋_GB2312"/>
          <w:b w:val="0"/>
          <w:color w:val="000000"/>
          <w:sz w:val="32"/>
          <w:szCs w:val="32"/>
        </w:rPr>
        <w:t>其中：</w:t>
      </w:r>
      <w:r>
        <w:rPr>
          <w:rFonts w:hint="eastAsia" w:ascii="仿宋_GB2312" w:eastAsia="仿宋_GB2312"/>
          <w:color w:val="000000"/>
          <w:sz w:val="32"/>
          <w:szCs w:val="32"/>
        </w:rPr>
        <w:t>城乡社区管理事务（款）01城管执法（项）04</w:t>
      </w:r>
      <w:r>
        <w:rPr>
          <w:rStyle w:val="17"/>
          <w:rFonts w:hint="eastAsia" w:ascii="仿宋_GB2312" w:eastAsia="仿宋_GB2312"/>
          <w:b w:val="0"/>
          <w:color w:val="000000"/>
          <w:sz w:val="32"/>
          <w:szCs w:val="32"/>
        </w:rPr>
        <w:t>：支出决算为1万元</w:t>
      </w:r>
      <w:r>
        <w:rPr>
          <w:rStyle w:val="17"/>
          <w:rFonts w:hint="eastAsia" w:ascii="仿宋_GB2312" w:eastAsia="仿宋_GB2312"/>
          <w:b w:val="0"/>
          <w:color w:val="000000"/>
          <w:sz w:val="32"/>
          <w:szCs w:val="32"/>
          <w:lang w:eastAsia="zh-CN"/>
        </w:rPr>
        <w:t>；</w:t>
      </w:r>
      <w:r>
        <w:rPr>
          <w:rStyle w:val="17"/>
          <w:rFonts w:hint="eastAsia" w:ascii="仿宋_GB2312" w:eastAsia="仿宋_GB2312"/>
          <w:b w:val="0"/>
          <w:color w:val="000000"/>
          <w:sz w:val="32"/>
          <w:szCs w:val="32"/>
        </w:rPr>
        <w:t>城乡社区公共设施（款）03其他城乡社区公共设施支出（项）99：支出决算为5万元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城乡社区环境卫生（款）05城乡社区环境卫生（项）01</w:t>
      </w:r>
      <w:r>
        <w:rPr>
          <w:rStyle w:val="17"/>
          <w:rFonts w:hint="eastAsia" w:ascii="仿宋_GB2312" w:eastAsia="仿宋_GB2312"/>
          <w:b w:val="0"/>
          <w:color w:val="000000"/>
          <w:sz w:val="32"/>
          <w:szCs w:val="32"/>
        </w:rPr>
        <w:t>：支出决算为3万元。</w:t>
      </w:r>
    </w:p>
    <w:p>
      <w:pPr>
        <w:spacing w:line="576" w:lineRule="exact"/>
        <w:ind w:firstLine="320" w:firstLineChars="100"/>
        <w:rPr>
          <w:rStyle w:val="17"/>
          <w:rFonts w:hint="eastAsia" w:ascii="仿宋_GB2312" w:eastAsia="仿宋_GB2312"/>
          <w:b w:val="0"/>
          <w:color w:val="000000"/>
          <w:sz w:val="32"/>
          <w:szCs w:val="32"/>
          <w:lang w:eastAsia="zh-CN"/>
        </w:rPr>
      </w:pPr>
      <w:r>
        <w:rPr>
          <w:rFonts w:hint="eastAsia" w:ascii="楷体_GB2312" w:hAnsi="楷体_GB2312" w:eastAsia="楷体_GB2312" w:cs="楷体_GB2312"/>
          <w:color w:val="000000"/>
          <w:sz w:val="32"/>
          <w:szCs w:val="32"/>
        </w:rPr>
        <w:t>6.农林水支出（类）213，支出决算为358.05万元，完成预算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r>
        <w:rPr>
          <w:rStyle w:val="17"/>
          <w:rFonts w:hint="eastAsia" w:ascii="仿宋_GB2312" w:eastAsia="仿宋_GB2312"/>
          <w:b w:val="0"/>
          <w:color w:val="000000"/>
          <w:sz w:val="32"/>
          <w:szCs w:val="32"/>
        </w:rPr>
        <w:t>其中：</w:t>
      </w:r>
      <w:r>
        <w:rPr>
          <w:rFonts w:hint="eastAsia" w:ascii="仿宋_GB2312" w:eastAsia="仿宋_GB2312"/>
          <w:color w:val="000000"/>
          <w:sz w:val="32"/>
          <w:szCs w:val="32"/>
        </w:rPr>
        <w:t>农业（款）01</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支出决算为3.8万元；其中</w:t>
      </w:r>
      <w:r>
        <w:rPr>
          <w:rFonts w:hint="eastAsia" w:ascii="仿宋_GB2312" w:eastAsia="仿宋_GB2312"/>
          <w:color w:val="000000"/>
          <w:sz w:val="32"/>
          <w:szCs w:val="32"/>
        </w:rPr>
        <w:t>病虫害控制（项）08</w:t>
      </w:r>
      <w:r>
        <w:rPr>
          <w:rStyle w:val="17"/>
          <w:rFonts w:hint="eastAsia" w:ascii="仿宋_GB2312" w:eastAsia="仿宋_GB2312"/>
          <w:b w:val="0"/>
          <w:color w:val="000000"/>
          <w:sz w:val="32"/>
          <w:szCs w:val="32"/>
        </w:rPr>
        <w:t>：支出决算为1万元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对高校毕业生到基层任职补助（项）52</w:t>
      </w:r>
      <w:r>
        <w:rPr>
          <w:rStyle w:val="17"/>
          <w:rFonts w:hint="eastAsia" w:ascii="仿宋_GB2312" w:eastAsia="仿宋_GB2312"/>
          <w:b w:val="0"/>
          <w:color w:val="000000"/>
          <w:sz w:val="32"/>
          <w:szCs w:val="32"/>
        </w:rPr>
        <w:t>：支出决算为2.8万元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水利（款）03</w:t>
      </w:r>
      <w:r>
        <w:rPr>
          <w:rFonts w:hint="eastAsia" w:ascii="仿宋_GB2312" w:eastAsia="仿宋_GB2312"/>
          <w:color w:val="000000"/>
          <w:sz w:val="32"/>
          <w:szCs w:val="32"/>
          <w:lang w:val="en-US" w:eastAsia="zh-CN"/>
        </w:rPr>
        <w:t>支出决算为11万元；其中：</w:t>
      </w:r>
      <w:r>
        <w:rPr>
          <w:rFonts w:hint="eastAsia" w:ascii="仿宋_GB2312" w:eastAsia="仿宋_GB2312"/>
          <w:color w:val="000000"/>
          <w:sz w:val="32"/>
          <w:szCs w:val="32"/>
        </w:rPr>
        <w:t>防汛（项）14</w:t>
      </w:r>
      <w:r>
        <w:rPr>
          <w:rStyle w:val="17"/>
          <w:rFonts w:hint="eastAsia" w:ascii="仿宋_GB2312" w:eastAsia="仿宋_GB2312"/>
          <w:b w:val="0"/>
          <w:color w:val="000000"/>
          <w:sz w:val="32"/>
          <w:szCs w:val="32"/>
        </w:rPr>
        <w:t>：支出决算为1万元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 xml:space="preserve"> 农村水利（项）16</w:t>
      </w:r>
      <w:r>
        <w:rPr>
          <w:rStyle w:val="17"/>
          <w:rFonts w:hint="eastAsia" w:ascii="仿宋_GB2312" w:eastAsia="仿宋_GB2312"/>
          <w:b w:val="0"/>
          <w:color w:val="000000"/>
          <w:sz w:val="32"/>
          <w:szCs w:val="32"/>
        </w:rPr>
        <w:t>：支出决算为10万元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农村综合改革（款）07</w:t>
      </w:r>
      <w:r>
        <w:rPr>
          <w:rFonts w:hint="eastAsia" w:ascii="仿宋_GB2312" w:eastAsia="仿宋_GB2312"/>
          <w:color w:val="000000"/>
          <w:sz w:val="32"/>
          <w:szCs w:val="32"/>
          <w:lang w:val="en-US" w:eastAsia="zh-CN"/>
        </w:rPr>
        <w:t>支出决算为343.25万元；其中：</w:t>
      </w:r>
      <w:r>
        <w:rPr>
          <w:rFonts w:hint="eastAsia" w:ascii="仿宋_GB2312" w:eastAsia="仿宋_GB2312"/>
          <w:color w:val="000000"/>
          <w:sz w:val="32"/>
          <w:szCs w:val="32"/>
        </w:rPr>
        <w:t>对村民委员会和村党支部的补助（项）05</w:t>
      </w:r>
      <w:r>
        <w:rPr>
          <w:rStyle w:val="17"/>
          <w:rFonts w:hint="eastAsia" w:ascii="仿宋_GB2312" w:eastAsia="仿宋_GB2312"/>
          <w:b w:val="0"/>
          <w:color w:val="000000"/>
          <w:sz w:val="32"/>
          <w:szCs w:val="32"/>
        </w:rPr>
        <w:t>：支出决算为313.14万元</w:t>
      </w:r>
      <w:r>
        <w:rPr>
          <w:rStyle w:val="17"/>
          <w:rFonts w:hint="eastAsia" w:ascii="仿宋_GB2312" w:eastAsia="仿宋_GB2312"/>
          <w:b w:val="0"/>
          <w:color w:val="000000"/>
          <w:sz w:val="32"/>
          <w:szCs w:val="32"/>
          <w:lang w:eastAsia="zh-CN"/>
        </w:rPr>
        <w:t>；</w:t>
      </w:r>
    </w:p>
    <w:p>
      <w:pPr>
        <w:spacing w:line="576" w:lineRule="exact"/>
        <w:rPr>
          <w:rStyle w:val="17"/>
          <w:rFonts w:hint="eastAsia" w:ascii="仿宋_GB2312" w:eastAsia="仿宋_GB2312"/>
          <w:b w:val="0"/>
          <w:color w:val="000000"/>
          <w:sz w:val="32"/>
          <w:szCs w:val="32"/>
          <w:lang w:eastAsia="zh-CN"/>
        </w:rPr>
      </w:pPr>
      <w:r>
        <w:rPr>
          <w:rFonts w:hint="eastAsia" w:ascii="仿宋_GB2312" w:eastAsia="仿宋_GB2312"/>
          <w:color w:val="000000"/>
          <w:sz w:val="32"/>
          <w:szCs w:val="32"/>
        </w:rPr>
        <w:t>对村集体经济组织的补助（项）06</w:t>
      </w:r>
      <w:r>
        <w:rPr>
          <w:rStyle w:val="17"/>
          <w:rFonts w:hint="eastAsia" w:ascii="仿宋_GB2312" w:eastAsia="仿宋_GB2312"/>
          <w:b w:val="0"/>
          <w:color w:val="000000"/>
          <w:sz w:val="32"/>
          <w:szCs w:val="32"/>
        </w:rPr>
        <w:t>：支出决算为15.11万元，</w:t>
      </w:r>
      <w:r>
        <w:rPr>
          <w:rStyle w:val="17"/>
          <w:rFonts w:hint="eastAsia" w:ascii="仿宋_GB2312" w:eastAsia="仿宋_GB2312"/>
          <w:b w:val="0"/>
          <w:color w:val="000000"/>
          <w:sz w:val="32"/>
          <w:szCs w:val="32"/>
          <w:lang w:eastAsia="zh-CN"/>
        </w:rPr>
        <w:t>；</w:t>
      </w:r>
    </w:p>
    <w:p>
      <w:pPr>
        <w:spacing w:line="576" w:lineRule="exact"/>
      </w:pPr>
      <w:r>
        <w:rPr>
          <w:rFonts w:hint="eastAsia" w:ascii="仿宋_GB2312" w:eastAsia="仿宋_GB2312"/>
          <w:color w:val="000000"/>
          <w:sz w:val="32"/>
          <w:szCs w:val="32"/>
        </w:rPr>
        <w:t>农村综合改革示范试点补助（项）07</w:t>
      </w:r>
      <w:r>
        <w:rPr>
          <w:rStyle w:val="17"/>
          <w:rFonts w:hint="eastAsia" w:ascii="仿宋_GB2312" w:eastAsia="仿宋_GB2312"/>
          <w:b w:val="0"/>
          <w:color w:val="000000"/>
          <w:sz w:val="32"/>
          <w:szCs w:val="32"/>
        </w:rPr>
        <w:t>：支出决算为15万元。</w:t>
      </w:r>
    </w:p>
    <w:p>
      <w:pPr>
        <w:spacing w:line="576" w:lineRule="exact"/>
        <w:ind w:firstLine="320" w:firstLineChars="100"/>
        <w:rPr>
          <w:rStyle w:val="17"/>
          <w:rFonts w:ascii="仿宋_GB2312" w:eastAsia="仿宋_GB2312"/>
          <w:b w:val="0"/>
          <w:color w:val="000000"/>
          <w:sz w:val="32"/>
          <w:szCs w:val="32"/>
        </w:rPr>
      </w:pPr>
      <w:r>
        <w:rPr>
          <w:rFonts w:hint="eastAsia" w:ascii="楷体_GB2312" w:hAnsi="楷体_GB2312" w:eastAsia="楷体_GB2312" w:cs="楷体_GB2312"/>
          <w:color w:val="000000"/>
          <w:sz w:val="32"/>
          <w:szCs w:val="32"/>
        </w:rPr>
        <w:t>7.交通运输支出（类）214，支出决算为1万元，完成预算</w:t>
      </w:r>
      <w:r>
        <w:rPr>
          <w:rStyle w:val="17"/>
          <w:rFonts w:hint="eastAsia" w:ascii="仿宋_GB2312" w:eastAsia="仿宋_GB2312"/>
          <w:b w:val="0"/>
          <w:color w:val="000000"/>
          <w:sz w:val="32"/>
          <w:szCs w:val="32"/>
        </w:rPr>
        <w:t>100%</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公路水路运输（款）01公路和运输安全（项）10</w:t>
      </w:r>
      <w:r>
        <w:rPr>
          <w:rStyle w:val="17"/>
          <w:rFonts w:hint="eastAsia" w:ascii="仿宋_GB2312" w:eastAsia="仿宋_GB2312"/>
          <w:b w:val="0"/>
          <w:color w:val="000000"/>
          <w:sz w:val="32"/>
          <w:szCs w:val="32"/>
        </w:rPr>
        <w:t>：支出决算为1万元。</w:t>
      </w:r>
    </w:p>
    <w:p>
      <w:pPr>
        <w:spacing w:line="576" w:lineRule="exact"/>
        <w:ind w:firstLine="320" w:firstLineChars="100"/>
        <w:rPr>
          <w:rStyle w:val="17"/>
          <w:rFonts w:ascii="仿宋_GB2312" w:eastAsia="仿宋_GB2312"/>
          <w:b w:val="0"/>
          <w:color w:val="000000"/>
          <w:sz w:val="32"/>
          <w:szCs w:val="32"/>
        </w:rPr>
      </w:pPr>
      <w:r>
        <w:rPr>
          <w:rFonts w:hint="eastAsia" w:ascii="楷体_GB2312" w:hAnsi="楷体_GB2312" w:eastAsia="楷体_GB2312" w:cs="楷体_GB2312"/>
          <w:color w:val="000000"/>
          <w:sz w:val="32"/>
          <w:szCs w:val="32"/>
        </w:rPr>
        <w:t>8.住房保障支出（类）221，支出决算为26.69万元，完成预算</w:t>
      </w:r>
      <w:r>
        <w:rPr>
          <w:rStyle w:val="17"/>
          <w:rFonts w:hint="eastAsia" w:ascii="仿宋_GB2312" w:eastAsia="仿宋_GB2312"/>
          <w:b w:val="0"/>
          <w:color w:val="000000"/>
          <w:sz w:val="32"/>
          <w:szCs w:val="32"/>
        </w:rPr>
        <w:t>100%，</w:t>
      </w:r>
      <w:r>
        <w:rPr>
          <w:rFonts w:hint="eastAsia" w:ascii="仿宋_GB2312" w:eastAsia="仿宋_GB2312"/>
          <w:color w:val="000000"/>
          <w:sz w:val="32"/>
          <w:szCs w:val="32"/>
        </w:rPr>
        <w:t>住房改革支出（款）02住房公积金（项）01</w:t>
      </w:r>
      <w:r>
        <w:rPr>
          <w:rStyle w:val="17"/>
          <w:rFonts w:hint="eastAsia" w:ascii="仿宋_GB2312" w:eastAsia="仿宋_GB2312"/>
          <w:b w:val="0"/>
          <w:color w:val="000000"/>
          <w:sz w:val="32"/>
          <w:szCs w:val="32"/>
        </w:rPr>
        <w:t>：支出决算为26.69万元。</w:t>
      </w:r>
    </w:p>
    <w:p>
      <w:pPr>
        <w:spacing w:line="576" w:lineRule="exact"/>
        <w:ind w:firstLine="320" w:firstLineChars="100"/>
        <w:rPr>
          <w:rStyle w:val="17"/>
          <w:rFonts w:ascii="仿宋_GB2312" w:eastAsia="仿宋_GB2312"/>
          <w:b w:val="0"/>
          <w:color w:val="000000"/>
          <w:sz w:val="32"/>
          <w:szCs w:val="32"/>
        </w:rPr>
      </w:pPr>
      <w:r>
        <w:rPr>
          <w:rFonts w:hint="eastAsia" w:ascii="楷体_GB2312" w:hAnsi="楷体_GB2312" w:eastAsia="楷体_GB2312" w:cs="楷体_GB2312"/>
          <w:color w:val="000000"/>
          <w:sz w:val="32"/>
          <w:szCs w:val="32"/>
        </w:rPr>
        <w:t>9.应急防治及应急管理支出（类）224，支出决算为18.87万元，完成预算</w:t>
      </w:r>
      <w:r>
        <w:rPr>
          <w:rStyle w:val="17"/>
          <w:rFonts w:hint="eastAsia" w:ascii="仿宋_GB2312" w:eastAsia="仿宋_GB2312"/>
          <w:b w:val="0"/>
          <w:color w:val="000000"/>
          <w:sz w:val="32"/>
          <w:szCs w:val="32"/>
        </w:rPr>
        <w:t>100%，其中：</w:t>
      </w:r>
      <w:r>
        <w:rPr>
          <w:rFonts w:hint="eastAsia" w:ascii="仿宋_GB2312" w:eastAsia="仿宋_GB2312"/>
          <w:color w:val="000000"/>
          <w:sz w:val="32"/>
          <w:szCs w:val="32"/>
        </w:rPr>
        <w:t>应急管理事务（款）01</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支出决算为12.15万元；其中：</w:t>
      </w:r>
      <w:r>
        <w:rPr>
          <w:rFonts w:hint="eastAsia" w:ascii="仿宋_GB2312" w:eastAsia="仿宋_GB2312"/>
          <w:color w:val="000000"/>
          <w:sz w:val="32"/>
          <w:szCs w:val="32"/>
        </w:rPr>
        <w:t>安全监管（项）06</w:t>
      </w:r>
      <w:r>
        <w:rPr>
          <w:rStyle w:val="17"/>
          <w:rFonts w:hint="eastAsia" w:ascii="仿宋_GB2312" w:eastAsia="仿宋_GB2312"/>
          <w:b w:val="0"/>
          <w:color w:val="000000"/>
          <w:sz w:val="32"/>
          <w:szCs w:val="32"/>
        </w:rPr>
        <w:t>：支出决算为2万元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应急救援（项）08</w:t>
      </w:r>
      <w:r>
        <w:rPr>
          <w:rStyle w:val="17"/>
          <w:rFonts w:hint="eastAsia" w:ascii="仿宋_GB2312" w:eastAsia="仿宋_GB2312"/>
          <w:b w:val="0"/>
          <w:color w:val="000000"/>
          <w:sz w:val="32"/>
          <w:szCs w:val="32"/>
        </w:rPr>
        <w:t>：支出决算为10.15万元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森林消防事务（款）03</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支出决算为4万元；其中：</w:t>
      </w:r>
      <w:r>
        <w:rPr>
          <w:rFonts w:hint="eastAsia" w:ascii="仿宋_GB2312" w:eastAsia="仿宋_GB2312"/>
          <w:color w:val="000000"/>
          <w:sz w:val="32"/>
          <w:szCs w:val="32"/>
        </w:rPr>
        <w:t>森林消防应急救援（项）04</w:t>
      </w:r>
      <w:r>
        <w:rPr>
          <w:rStyle w:val="17"/>
          <w:rFonts w:hint="eastAsia" w:ascii="仿宋_GB2312" w:eastAsia="仿宋_GB2312"/>
          <w:b w:val="0"/>
          <w:color w:val="000000"/>
          <w:sz w:val="32"/>
          <w:szCs w:val="32"/>
        </w:rPr>
        <w:t>：支出决算为2万元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其他森林消防事务支出（项）99</w:t>
      </w:r>
      <w:r>
        <w:rPr>
          <w:rStyle w:val="17"/>
          <w:rFonts w:hint="eastAsia" w:ascii="仿宋_GB2312" w:eastAsia="仿宋_GB2312"/>
          <w:b w:val="0"/>
          <w:color w:val="000000"/>
          <w:sz w:val="32"/>
          <w:szCs w:val="32"/>
        </w:rPr>
        <w:t>：支出决算为2万元</w:t>
      </w:r>
      <w:r>
        <w:rPr>
          <w:rStyle w:val="17"/>
          <w:rFonts w:hint="eastAsia" w:ascii="仿宋_GB2312" w:eastAsia="仿宋_GB2312"/>
          <w:b w:val="0"/>
          <w:color w:val="000000"/>
          <w:sz w:val="32"/>
          <w:szCs w:val="32"/>
          <w:lang w:eastAsia="zh-CN"/>
        </w:rPr>
        <w:t>；</w:t>
      </w:r>
      <w:r>
        <w:rPr>
          <w:rFonts w:hint="eastAsia" w:ascii="仿宋_GB2312" w:eastAsia="仿宋_GB2312"/>
          <w:color w:val="000000"/>
          <w:sz w:val="32"/>
          <w:szCs w:val="32"/>
        </w:rPr>
        <w:t>其他灾害防治及应急管理支出（款）99其他灾害防治及应急管理支出（项）99</w:t>
      </w:r>
      <w:r>
        <w:rPr>
          <w:rStyle w:val="17"/>
          <w:rFonts w:hint="eastAsia" w:ascii="仿宋_GB2312" w:eastAsia="仿宋_GB2312"/>
          <w:b w:val="0"/>
          <w:color w:val="000000"/>
          <w:sz w:val="32"/>
          <w:szCs w:val="32"/>
        </w:rPr>
        <w:t>：支出决算为8.06万元。</w:t>
      </w:r>
    </w:p>
    <w:p>
      <w:pPr>
        <w:tabs>
          <w:tab w:val="right" w:pos="8306"/>
        </w:tabs>
        <w:spacing w:line="576" w:lineRule="exact"/>
        <w:ind w:firstLine="640"/>
        <w:outlineLvl w:val="1"/>
        <w:rPr>
          <w:rStyle w:val="28"/>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spacing w:line="576"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21年一般公共预算财政拨款基本支出682.87万元，其中：</w:t>
      </w:r>
    </w:p>
    <w:p>
      <w:pPr>
        <w:spacing w:line="576" w:lineRule="exact"/>
        <w:ind w:firstLine="645"/>
        <w:rPr>
          <w:rFonts w:ascii="仿宋" w:hAnsi="仿宋" w:eastAsia="仿宋"/>
          <w:sz w:val="32"/>
          <w:szCs w:val="32"/>
        </w:rPr>
      </w:pPr>
      <w:r>
        <w:rPr>
          <w:rFonts w:hint="eastAsia" w:ascii="仿宋" w:hAnsi="仿宋" w:eastAsia="仿宋"/>
          <w:sz w:val="32"/>
          <w:szCs w:val="32"/>
        </w:rPr>
        <w:t>人员经费422.36万元，主要包括：基本工资、津贴补贴、奖金、绩效工资、机关事业单位基本养老保险缴费、职业年金缴费、其他社会保障缴费、其他工资福利支出、抚恤金、生活补助、奖励金、住房公积金、其他对个人和家庭的补助支出等。</w:t>
      </w:r>
    </w:p>
    <w:p>
      <w:pPr>
        <w:spacing w:line="576" w:lineRule="exact"/>
        <w:ind w:firstLine="645"/>
        <w:rPr>
          <w:rFonts w:ascii="仿宋" w:hAnsi="仿宋" w:eastAsia="仿宋"/>
          <w:b/>
          <w:sz w:val="32"/>
          <w:szCs w:val="32"/>
        </w:rPr>
      </w:pPr>
      <w:r>
        <w:rPr>
          <w:rFonts w:hint="eastAsia" w:ascii="仿宋" w:hAnsi="仿宋" w:eastAsia="仿宋"/>
          <w:sz w:val="32"/>
          <w:szCs w:val="32"/>
        </w:rPr>
        <w:t>公用经费260.52万元，主要包括：办公费、印刷费、咨询费、手续费、水费、电费、邮电费、差旅费、维修（护）费、租赁费、会议费、培训费、公务接待费、劳务费、委托业务费、工会经费、福利费、其他交通费、税金及附加费用、其他商品和服务支出、办公设备购置、专用设备购置、其他资本性支出等。</w:t>
      </w:r>
    </w:p>
    <w:p>
      <w:pPr>
        <w:spacing w:line="576" w:lineRule="exact"/>
        <w:ind w:firstLine="640"/>
        <w:outlineLvl w:val="1"/>
        <w:rPr>
          <w:rStyle w:val="28"/>
          <w:rFonts w:ascii="黑体" w:hAnsi="黑体" w:eastAsia="黑体"/>
          <w:b w:val="0"/>
        </w:rPr>
      </w:pPr>
      <w:bookmarkStart w:id="42" w:name="_Toc15377215"/>
      <w:bookmarkStart w:id="43" w:name="_Toc15396609"/>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spacing w:line="576"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576" w:lineRule="exact"/>
        <w:ind w:firstLine="640"/>
        <w:rPr>
          <w:rFonts w:hint="default" w:ascii="仿宋" w:hAnsi="仿宋" w:eastAsia="仿宋"/>
          <w:b/>
          <w:sz w:val="32"/>
          <w:szCs w:val="32"/>
          <w:lang w:val="en-US" w:eastAsia="zh-CN"/>
        </w:rPr>
      </w:pPr>
      <w:r>
        <w:rPr>
          <w:rFonts w:ascii="仿宋" w:hAnsi="仿宋" w:eastAsia="仿宋"/>
          <w:sz w:val="32"/>
          <w:szCs w:val="32"/>
        </w:rPr>
        <w:t>20</w:t>
      </w:r>
      <w:r>
        <w:rPr>
          <w:rFonts w:hint="eastAsia" w:ascii="仿宋" w:hAnsi="仿宋" w:eastAsia="仿宋"/>
          <w:sz w:val="32"/>
          <w:szCs w:val="32"/>
        </w:rPr>
        <w:t>21年“三公”经费财政拨款支出决算为1.94万元，完成预算64.67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原因为厉行节约经费支出减少。</w:t>
      </w:r>
    </w:p>
    <w:p>
      <w:pPr>
        <w:spacing w:line="576"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；公务接待费支出决算1.94万元，占100</w:t>
      </w:r>
      <w:r>
        <w:rPr>
          <w:rFonts w:ascii="仿宋" w:hAnsi="仿宋" w:eastAsia="仿宋"/>
          <w:sz w:val="32"/>
          <w:szCs w:val="32"/>
        </w:rPr>
        <w:t>%</w:t>
      </w:r>
      <w:r>
        <w:rPr>
          <w:rFonts w:hint="eastAsia" w:ascii="仿宋" w:hAnsi="仿宋" w:eastAsia="仿宋"/>
          <w:sz w:val="32"/>
          <w:szCs w:val="32"/>
        </w:rPr>
        <w:t>。具体情况如下：</w:t>
      </w:r>
    </w:p>
    <w:p>
      <w:pPr>
        <w:numPr>
          <w:ilvl w:val="0"/>
          <w:numId w:val="3"/>
        </w:numPr>
        <w:spacing w:line="576" w:lineRule="exact"/>
        <w:ind w:firstLine="680"/>
        <w:rPr>
          <w:rFonts w:hint="eastAsia" w:ascii="仿宋_GB2312" w:eastAsia="仿宋_GB2312"/>
          <w:sz w:val="32"/>
          <w:szCs w:val="32"/>
        </w:rPr>
      </w:pP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w:t>
      </w:r>
      <w:r>
        <w:rPr>
          <w:rFonts w:hint="eastAsia" w:ascii="仿宋_GB2312" w:eastAsia="仿宋_GB2312"/>
          <w:sz w:val="32"/>
          <w:szCs w:val="32"/>
          <w:lang w:eastAsia="zh-CN"/>
        </w:rPr>
        <w:t>年初未安排预算</w:t>
      </w:r>
      <w:r>
        <w:rPr>
          <w:rFonts w:hint="eastAsia" w:ascii="仿宋_GB2312" w:eastAsia="仿宋_GB2312"/>
          <w:sz w:val="32"/>
          <w:szCs w:val="32"/>
        </w:rPr>
        <w:t>。因公出国（境）</w:t>
      </w:r>
      <w:r>
        <w:rPr>
          <w:rFonts w:hint="eastAsia" w:ascii="仿宋_GB2312" w:eastAsia="仿宋_GB2312"/>
          <w:sz w:val="32"/>
          <w:szCs w:val="32"/>
          <w:lang w:eastAsia="zh-CN"/>
        </w:rPr>
        <w:t>经费</w:t>
      </w:r>
      <w:r>
        <w:rPr>
          <w:rFonts w:hint="eastAsia" w:ascii="仿宋_GB2312" w:eastAsia="仿宋_GB2312"/>
          <w:sz w:val="32"/>
          <w:szCs w:val="32"/>
        </w:rPr>
        <w:t>支出</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无变化</w:t>
      </w:r>
      <w:r>
        <w:rPr>
          <w:rFonts w:hint="eastAsia" w:ascii="仿宋_GB2312" w:eastAsia="仿宋_GB2312"/>
          <w:sz w:val="32"/>
          <w:szCs w:val="32"/>
        </w:rPr>
        <w:t>。</w:t>
      </w:r>
    </w:p>
    <w:p>
      <w:pPr>
        <w:numPr>
          <w:ilvl w:val="0"/>
          <w:numId w:val="0"/>
        </w:numPr>
        <w:spacing w:line="576" w:lineRule="exact"/>
        <w:ind w:firstLine="642" w:firstLineChars="200"/>
        <w:rPr>
          <w:rFonts w:hint="default" w:ascii="仿宋_GB2312" w:eastAsia="仿宋_GB2312"/>
          <w:sz w:val="32"/>
          <w:szCs w:val="32"/>
          <w:lang w:val="en-US" w:eastAsia="zh-CN"/>
        </w:rPr>
      </w:pPr>
      <w:r>
        <w:rPr>
          <w:rFonts w:hint="eastAsia" w:ascii="仿宋_GB2312" w:eastAsia="仿宋_GB2312"/>
          <w:b/>
          <w:sz w:val="32"/>
          <w:szCs w:val="32"/>
        </w:rPr>
        <w:t>2.公务用车购置及运行维护费支出</w:t>
      </w:r>
      <w:r>
        <w:rPr>
          <w:rFonts w:hint="eastAsia" w:ascii="仿宋_GB2312" w:eastAsia="仿宋_GB2312"/>
          <w:sz w:val="32"/>
          <w:szCs w:val="32"/>
        </w:rPr>
        <w:t>0万元</w:t>
      </w:r>
      <w:r>
        <w:rPr>
          <w:rStyle w:val="17"/>
          <w:rFonts w:hint="eastAsia" w:ascii="仿宋" w:hAnsi="仿宋" w:eastAsia="仿宋"/>
          <w:b w:val="0"/>
          <w:bCs/>
          <w:sz w:val="32"/>
          <w:szCs w:val="32"/>
        </w:rPr>
        <w:t>。</w:t>
      </w:r>
      <w:r>
        <w:rPr>
          <w:rStyle w:val="17"/>
          <w:rFonts w:hint="eastAsia" w:ascii="仿宋" w:hAnsi="仿宋" w:eastAsia="仿宋"/>
          <w:b w:val="0"/>
          <w:bCs/>
          <w:sz w:val="32"/>
          <w:szCs w:val="32"/>
          <w:lang w:eastAsia="zh-CN"/>
        </w:rPr>
        <w:t>年初未安排预算，</w:t>
      </w:r>
      <w:r>
        <w:rPr>
          <w:rFonts w:hint="eastAsia" w:ascii="仿宋_GB2312" w:eastAsia="仿宋_GB2312"/>
          <w:sz w:val="32"/>
          <w:szCs w:val="32"/>
        </w:rPr>
        <w:t>公务用车购置及运行维护费支出</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无变化</w:t>
      </w:r>
      <w:r>
        <w:rPr>
          <w:rFonts w:hint="eastAsia" w:ascii="仿宋_GB2312" w:eastAsia="仿宋_GB2312"/>
          <w:sz w:val="32"/>
          <w:szCs w:val="32"/>
        </w:rPr>
        <w:t>。</w:t>
      </w:r>
      <w:r>
        <w:rPr>
          <w:rFonts w:hint="eastAsia" w:ascii="仿宋_GB2312" w:eastAsia="仿宋_GB2312"/>
          <w:sz w:val="32"/>
          <w:szCs w:val="32"/>
          <w:lang w:val="en-US" w:eastAsia="zh-CN"/>
        </w:rPr>
        <w:t>截止2021年12月31日，公务车购置0辆。</w:t>
      </w:r>
    </w:p>
    <w:p>
      <w:pPr>
        <w:spacing w:line="576"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1.94万元，</w:t>
      </w:r>
      <w:r>
        <w:rPr>
          <w:rStyle w:val="17"/>
          <w:rFonts w:hint="eastAsia" w:ascii="仿宋" w:hAnsi="仿宋" w:eastAsia="仿宋"/>
          <w:b w:val="0"/>
          <w:bCs/>
          <w:sz w:val="32"/>
          <w:szCs w:val="32"/>
        </w:rPr>
        <w:t>完成预算64.67</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20年增加1.65万元，增长579.45</w:t>
      </w:r>
      <w:r>
        <w:rPr>
          <w:rFonts w:ascii="仿宋_GB2312" w:eastAsia="仿宋_GB2312"/>
          <w:sz w:val="32"/>
          <w:szCs w:val="32"/>
        </w:rPr>
        <w:t>%</w:t>
      </w:r>
      <w:r>
        <w:rPr>
          <w:rFonts w:hint="eastAsia" w:ascii="仿宋_GB2312" w:eastAsia="仿宋_GB2312"/>
          <w:sz w:val="32"/>
          <w:szCs w:val="32"/>
        </w:rPr>
        <w:t>。主要原因是1.石龙上一年接待费基数较低0.29万元。2.是石龙工业园区指挥部成立，承担招商任务。</w:t>
      </w:r>
    </w:p>
    <w:p>
      <w:pPr>
        <w:spacing w:line="576"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1.94</w:t>
      </w:r>
      <w:r>
        <w:rPr>
          <w:rFonts w:hint="eastAsia" w:ascii="仿宋_GB2312" w:eastAsia="仿宋_GB2312"/>
          <w:sz w:val="32"/>
          <w:szCs w:val="32"/>
        </w:rPr>
        <w:t>万元，主要用于接待引进企业来考察接待餐费。国内公务接待10批次，150人次。</w:t>
      </w:r>
    </w:p>
    <w:p>
      <w:pPr>
        <w:spacing w:line="576" w:lineRule="exact"/>
        <w:outlineLvl w:val="1"/>
        <w:rPr>
          <w:rStyle w:val="28"/>
          <w:rFonts w:ascii="黑体" w:hAnsi="黑体" w:eastAsia="黑体"/>
        </w:rPr>
      </w:pPr>
      <w:bookmarkStart w:id="46" w:name="_Toc15396610"/>
      <w:bookmarkStart w:id="47" w:name="_Toc15377218"/>
      <w:r>
        <w:rPr>
          <w:rFonts w:hint="eastAsia" w:ascii="黑体" w:eastAsia="黑体"/>
          <w:sz w:val="32"/>
          <w:szCs w:val="32"/>
        </w:rPr>
        <w:t>八、</w:t>
      </w:r>
      <w:r>
        <w:rPr>
          <w:rStyle w:val="28"/>
          <w:rFonts w:hint="eastAsia" w:ascii="黑体" w:hAnsi="黑体" w:eastAsia="黑体"/>
          <w:b w:val="0"/>
        </w:rPr>
        <w:t>政府性基金预算支出决算情况说明</w:t>
      </w:r>
      <w:bookmarkEnd w:id="46"/>
      <w:bookmarkEnd w:id="47"/>
    </w:p>
    <w:p>
      <w:pPr>
        <w:spacing w:line="576"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4"/>
        </w:numPr>
        <w:spacing w:line="576" w:lineRule="exact"/>
        <w:ind w:firstLine="640"/>
        <w:outlineLvl w:val="1"/>
        <w:rPr>
          <w:rStyle w:val="28"/>
          <w:rFonts w:ascii="黑体" w:hAnsi="黑体" w:eastAsia="黑体"/>
          <w:b w:val="0"/>
        </w:rPr>
      </w:pPr>
      <w:bookmarkStart w:id="48" w:name="_Toc15396611"/>
      <w:bookmarkStart w:id="49" w:name="_Toc15377219"/>
      <w:r>
        <w:rPr>
          <w:rStyle w:val="28"/>
          <w:rFonts w:hint="eastAsia" w:ascii="黑体" w:hAnsi="黑体" w:eastAsia="黑体"/>
          <w:b w:val="0"/>
        </w:rPr>
        <w:t>国有资本经营预算支出决算情况说明</w:t>
      </w:r>
      <w:bookmarkEnd w:id="48"/>
      <w:bookmarkEnd w:id="49"/>
    </w:p>
    <w:p>
      <w:pPr>
        <w:spacing w:line="576" w:lineRule="exact"/>
        <w:ind w:firstLine="640"/>
      </w:pPr>
      <w:r>
        <w:rPr>
          <w:rFonts w:ascii="仿宋_GB2312" w:eastAsia="仿宋_GB2312"/>
          <w:sz w:val="32"/>
          <w:szCs w:val="32"/>
        </w:rPr>
        <w:t>20</w:t>
      </w:r>
      <w:r>
        <w:rPr>
          <w:rFonts w:hint="eastAsia" w:ascii="仿宋_GB2312" w:eastAsia="仿宋_GB2312"/>
          <w:sz w:val="32"/>
          <w:szCs w:val="32"/>
        </w:rPr>
        <w:t>21年国有资本经营预算财政拨款支出0万元。</w:t>
      </w:r>
      <w:bookmarkStart w:id="50" w:name="_Toc15396612"/>
      <w:bookmarkStart w:id="51" w:name="_Toc15377221"/>
    </w:p>
    <w:p>
      <w:pPr>
        <w:numPr>
          <w:ilvl w:val="0"/>
          <w:numId w:val="4"/>
        </w:numPr>
        <w:spacing w:line="576" w:lineRule="exact"/>
        <w:ind w:firstLine="640"/>
        <w:outlineLvl w:val="1"/>
        <w:rPr>
          <w:rStyle w:val="28"/>
          <w:rFonts w:ascii="黑体" w:hAnsi="黑体" w:eastAsia="黑体"/>
          <w:b w:val="0"/>
        </w:rPr>
      </w:pPr>
      <w:r>
        <w:rPr>
          <w:rStyle w:val="28"/>
          <w:rFonts w:hint="eastAsia" w:ascii="黑体" w:hAnsi="黑体" w:eastAsia="黑体"/>
          <w:b w:val="0"/>
        </w:rPr>
        <w:t>其他重要事项的情况说明</w:t>
      </w:r>
      <w:bookmarkEnd w:id="50"/>
      <w:bookmarkEnd w:id="51"/>
    </w:p>
    <w:p>
      <w:pPr>
        <w:spacing w:line="576"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21年，石龙街道机关运行经费支出260.51万元，比</w:t>
      </w:r>
      <w:r>
        <w:rPr>
          <w:rFonts w:ascii="仿宋_GB2312" w:eastAsia="仿宋_GB2312"/>
          <w:sz w:val="32"/>
          <w:szCs w:val="32"/>
        </w:rPr>
        <w:t>20</w:t>
      </w:r>
      <w:r>
        <w:rPr>
          <w:rFonts w:hint="eastAsia" w:ascii="仿宋_GB2312" w:eastAsia="仿宋_GB2312"/>
          <w:sz w:val="32"/>
          <w:szCs w:val="32"/>
        </w:rPr>
        <w:t>20年增加91.32万元。主要原因是将财力补助由2020年项目经费调整到运行经费。</w:t>
      </w:r>
    </w:p>
    <w:p>
      <w:pPr>
        <w:autoSpaceDE w:val="0"/>
        <w:autoSpaceDN w:val="0"/>
        <w:adjustRightInd w:val="0"/>
        <w:spacing w:line="576" w:lineRule="exact"/>
        <w:ind w:firstLine="642" w:firstLineChars="200"/>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576"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21年，石龙街道政府采购支出总额1.29万元，其中：政府采购货物支出1.29万元，占政府采购支出总额的100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val="en-US" w:eastAsia="zh-CN"/>
        </w:rPr>
        <w:t>中小企业采购数为0，小微企业采购为0。</w:t>
      </w:r>
    </w:p>
    <w:p>
      <w:pPr>
        <w:autoSpaceDE w:val="0"/>
        <w:autoSpaceDN w:val="0"/>
        <w:adjustRightInd w:val="0"/>
        <w:spacing w:line="576" w:lineRule="exact"/>
        <w:ind w:firstLine="642" w:firstLineChars="200"/>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 w:hAnsi="仿宋" w:eastAsia="仿宋" w:cs="Times New Roman"/>
          <w:color w:val="000000"/>
          <w:kern w:val="2"/>
          <w:sz w:val="32"/>
          <w:szCs w:val="32"/>
          <w:lang w:val="en-US" w:eastAsia="zh-CN" w:bidi="ar"/>
        </w:rPr>
      </w:pPr>
      <w:bookmarkStart w:id="55" w:name="_Toc15396613"/>
      <w:bookmarkStart w:id="56" w:name="_Toc15377225"/>
      <w:r>
        <w:rPr>
          <w:rFonts w:hint="eastAsia" w:ascii="仿宋" w:hAnsi="仿宋" w:eastAsia="仿宋" w:cs="Times New Roman"/>
          <w:color w:val="000000"/>
          <w:kern w:val="2"/>
          <w:sz w:val="32"/>
          <w:szCs w:val="32"/>
          <w:lang w:val="en-US" w:eastAsia="zh-CN" w:bidi="ar"/>
        </w:rPr>
        <w:t>截至2021年12月31日，</w:t>
      </w:r>
      <w:r>
        <w:rPr>
          <w:rFonts w:hint="eastAsia" w:ascii="仿宋" w:hAnsi="仿宋" w:eastAsia="仿宋"/>
          <w:color w:val="000000"/>
          <w:sz w:val="32"/>
          <w:szCs w:val="32"/>
        </w:rPr>
        <w:t>石龙街道共有车辆0辆。</w:t>
      </w:r>
      <w:r>
        <w:rPr>
          <w:rFonts w:hint="eastAsia" w:ascii="仿宋" w:hAnsi="仿宋" w:eastAsia="仿宋" w:cs="Times New Roman"/>
          <w:color w:val="000000"/>
          <w:kern w:val="2"/>
          <w:sz w:val="32"/>
          <w:szCs w:val="32"/>
          <w:lang w:val="en-US" w:eastAsia="zh-CN" w:bidi="ar"/>
        </w:rPr>
        <w:t>单价50万元以上通用设备0台（套），单价100万元以上专用设备0台（套）。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both"/>
        <w:textAlignment w:val="auto"/>
        <w:rPr>
          <w:rStyle w:val="28"/>
          <w:rFonts w:hint="eastAsia" w:ascii="黑体" w:hAnsi="黑体" w:eastAsia="黑体" w:cs="黑体"/>
          <w:b w:val="0"/>
          <w:bCs w:val="0"/>
          <w:color w:val="000000" w:themeColor="text1"/>
          <w:highlight w:val="none"/>
          <w:lang w:eastAsia="zh-CN"/>
        </w:rPr>
      </w:pPr>
      <w:r>
        <w:rPr>
          <w:rFonts w:hint="eastAsia" w:ascii="黑体" w:hAnsi="黑体" w:eastAsia="黑体" w:cs="黑体"/>
          <w:color w:val="000000"/>
          <w:kern w:val="2"/>
          <w:sz w:val="32"/>
          <w:szCs w:val="32"/>
          <w:lang w:val="en-US" w:eastAsia="zh-CN" w:bidi="ar"/>
        </w:rPr>
        <w:t>十一、</w:t>
      </w:r>
      <w:r>
        <w:rPr>
          <w:rStyle w:val="28"/>
          <w:rFonts w:hint="eastAsia" w:ascii="黑体" w:hAnsi="黑体" w:eastAsia="黑体" w:cs="黑体"/>
          <w:b w:val="0"/>
          <w:bCs w:val="0"/>
          <w:color w:val="000000" w:themeColor="text1"/>
          <w:highlight w:val="none"/>
          <w:lang w:eastAsia="zh-CN"/>
        </w:rPr>
        <w:t>预算绩效管理情况</w:t>
      </w:r>
    </w:p>
    <w:p>
      <w:pPr>
        <w:numPr>
          <w:ilvl w:val="0"/>
          <w:numId w:val="0"/>
        </w:numPr>
        <w:spacing w:line="600" w:lineRule="exact"/>
        <w:ind w:firstLine="640" w:firstLineChars="200"/>
        <w:outlineLvl w:val="1"/>
        <w:rPr>
          <w:rFonts w:hint="eastAsia"/>
          <w:color w:val="000000" w:themeColor="text1"/>
          <w:highlight w:val="none"/>
          <w:lang w:eastAsia="zh-CN"/>
        </w:rPr>
      </w:pPr>
      <w:r>
        <w:rPr>
          <w:rFonts w:hint="eastAsia" w:ascii="仿宋_GB2312" w:hAnsi="仿宋_GB2312" w:eastAsia="仿宋_GB2312" w:cs="仿宋_GB2312"/>
          <w:color w:val="000000" w:themeColor="text1"/>
          <w:sz w:val="32"/>
          <w:szCs w:val="32"/>
          <w:highlight w:val="none"/>
        </w:rPr>
        <w:t>根据预算绩效管理要求，本部门在</w:t>
      </w:r>
      <w:r>
        <w:rPr>
          <w:rFonts w:hint="eastAsia" w:ascii="仿宋_GB2312" w:hAnsi="仿宋_GB2312" w:eastAsia="仿宋_GB2312" w:cs="仿宋_GB2312"/>
          <w:color w:val="000000" w:themeColor="text1"/>
          <w:sz w:val="32"/>
          <w:szCs w:val="32"/>
          <w:highlight w:val="none"/>
          <w:lang w:val="en-US" w:eastAsia="zh-CN"/>
        </w:rPr>
        <w:t>2021年度</w:t>
      </w:r>
      <w:r>
        <w:rPr>
          <w:rFonts w:hint="eastAsia" w:ascii="仿宋_GB2312" w:hAnsi="仿宋_GB2312" w:eastAsia="仿宋_GB2312" w:cs="仿宋_GB2312"/>
          <w:color w:val="000000" w:themeColor="text1"/>
          <w:sz w:val="32"/>
          <w:szCs w:val="32"/>
          <w:highlight w:val="none"/>
        </w:rPr>
        <w:t>预算编制阶段，</w:t>
      </w:r>
      <w:r>
        <w:rPr>
          <w:rFonts w:hint="eastAsia" w:ascii="仿宋_GB2312" w:hAnsi="仿宋_GB2312" w:eastAsia="仿宋_GB2312" w:cs="仿宋_GB2312"/>
          <w:color w:val="000000" w:themeColor="text1"/>
          <w:sz w:val="32"/>
          <w:szCs w:val="32"/>
          <w:highlight w:val="none"/>
          <w:lang w:val="en-US" w:eastAsia="zh-CN"/>
        </w:rPr>
        <w:t>村（社）换届审计、</w:t>
      </w:r>
      <w:r>
        <w:rPr>
          <w:rFonts w:hint="eastAsia" w:ascii="仿宋_GB2312" w:hAnsi="仿宋_GB2312" w:eastAsia="仿宋_GB2312" w:cs="仿宋_GB2312"/>
          <w:color w:val="000000" w:themeColor="text1"/>
          <w:sz w:val="32"/>
          <w:szCs w:val="32"/>
          <w:highlight w:val="none"/>
          <w:lang w:eastAsia="zh-CN"/>
        </w:rPr>
        <w:t>林业草原防灾减灾、公共安全与应急抢险物资保障</w:t>
      </w:r>
      <w:r>
        <w:rPr>
          <w:rFonts w:hint="eastAsia" w:ascii="仿宋_GB2312" w:hAnsi="仿宋_GB2312" w:eastAsia="仿宋_GB2312" w:cs="仿宋_GB2312"/>
          <w:color w:val="000000" w:themeColor="text1"/>
          <w:sz w:val="32"/>
          <w:szCs w:val="32"/>
          <w:highlight w:val="none"/>
        </w:rPr>
        <w:t>项目</w:t>
      </w:r>
      <w:r>
        <w:rPr>
          <w:rFonts w:hint="eastAsia" w:ascii="仿宋_GB2312" w:hAnsi="仿宋_GB2312" w:eastAsia="仿宋_GB2312" w:cs="仿宋_GB2312"/>
          <w:color w:val="000000" w:themeColor="text1"/>
          <w:sz w:val="32"/>
          <w:szCs w:val="32"/>
          <w:highlight w:val="none"/>
          <w:lang w:eastAsia="zh-CN"/>
        </w:rPr>
        <w:t>等</w:t>
      </w:r>
      <w:r>
        <w:rPr>
          <w:rFonts w:hint="eastAsia" w:ascii="仿宋_GB2312" w:hAnsi="仿宋_GB2312" w:eastAsia="仿宋_GB2312" w:cs="仿宋_GB2312"/>
          <w:color w:val="000000" w:themeColor="text1"/>
          <w:sz w:val="32"/>
          <w:szCs w:val="32"/>
          <w:highlight w:val="none"/>
          <w:lang w:val="en-US" w:eastAsia="zh-CN"/>
        </w:rPr>
        <w:t>项目</w:t>
      </w:r>
      <w:r>
        <w:rPr>
          <w:rFonts w:hint="eastAsia" w:ascii="仿宋_GB2312" w:hAnsi="仿宋_GB2312" w:eastAsia="仿宋_GB2312" w:cs="仿宋_GB2312"/>
          <w:color w:val="000000" w:themeColor="text1"/>
          <w:sz w:val="32"/>
          <w:szCs w:val="32"/>
          <w:highlight w:val="none"/>
        </w:rPr>
        <w:t>开展了预算事前绩效评估，对</w:t>
      </w:r>
      <w:r>
        <w:rPr>
          <w:rFonts w:hint="eastAsia" w:ascii="仿宋_GB2312" w:hAnsi="仿宋_GB2312" w:eastAsia="仿宋_GB2312" w:cs="仿宋_GB2312"/>
          <w:color w:val="000000" w:themeColor="text1"/>
          <w:sz w:val="32"/>
          <w:szCs w:val="32"/>
          <w:highlight w:val="none"/>
          <w:lang w:val="en-US" w:eastAsia="zh-CN"/>
        </w:rPr>
        <w:t>19</w:t>
      </w:r>
      <w:r>
        <w:rPr>
          <w:rFonts w:hint="eastAsia" w:ascii="仿宋_GB2312" w:hAnsi="仿宋_GB2312" w:eastAsia="仿宋_GB2312" w:cs="仿宋_GB2312"/>
          <w:color w:val="000000" w:themeColor="text1"/>
          <w:sz w:val="32"/>
          <w:szCs w:val="32"/>
          <w:highlight w:val="none"/>
        </w:rPr>
        <w:t>个项目编制了绩效目标，预算执行过程中，选取</w:t>
      </w:r>
      <w:r>
        <w:rPr>
          <w:rFonts w:hint="eastAsia" w:ascii="仿宋_GB2312" w:hAnsi="仿宋_GB2312" w:eastAsia="仿宋_GB2312" w:cs="仿宋_GB2312"/>
          <w:color w:val="000000" w:themeColor="text1"/>
          <w:sz w:val="32"/>
          <w:szCs w:val="32"/>
          <w:highlight w:val="none"/>
          <w:lang w:val="en-US" w:eastAsia="zh-CN"/>
        </w:rPr>
        <w:t>19</w:t>
      </w:r>
      <w:r>
        <w:rPr>
          <w:rFonts w:hint="eastAsia" w:ascii="仿宋_GB2312" w:hAnsi="仿宋_GB2312" w:eastAsia="仿宋_GB2312" w:cs="仿宋_GB2312"/>
          <w:color w:val="000000" w:themeColor="text1"/>
          <w:sz w:val="32"/>
          <w:szCs w:val="32"/>
          <w:highlight w:val="none"/>
        </w:rPr>
        <w:t>个项目开展绩效监控，年终执行完毕后，对</w:t>
      </w:r>
      <w:r>
        <w:rPr>
          <w:rFonts w:hint="eastAsia" w:ascii="仿宋_GB2312" w:hAnsi="仿宋_GB2312" w:eastAsia="仿宋_GB2312" w:cs="仿宋_GB2312"/>
          <w:color w:val="000000" w:themeColor="text1"/>
          <w:sz w:val="32"/>
          <w:szCs w:val="32"/>
          <w:highlight w:val="none"/>
          <w:lang w:val="en-US" w:eastAsia="zh-CN"/>
        </w:rPr>
        <w:t>2</w:t>
      </w:r>
      <w:r>
        <w:rPr>
          <w:rFonts w:hint="eastAsia" w:ascii="仿宋_GB2312" w:hAnsi="仿宋_GB2312" w:eastAsia="仿宋_GB2312" w:cs="仿宋_GB2312"/>
          <w:color w:val="000000" w:themeColor="text1"/>
          <w:sz w:val="32"/>
          <w:szCs w:val="32"/>
          <w:highlight w:val="none"/>
        </w:rPr>
        <w:t>个项目开展了绩效自评</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见附件（</w:t>
      </w:r>
      <w:r>
        <w:rPr>
          <w:rFonts w:hint="eastAsia" w:ascii="仿宋_GB2312" w:hAnsi="仿宋_GB2312" w:eastAsia="仿宋_GB2312" w:cs="仿宋_GB2312"/>
          <w:color w:val="000000" w:themeColor="text1"/>
          <w:sz w:val="32"/>
          <w:szCs w:val="32"/>
          <w:highlight w:val="none"/>
          <w:lang w:eastAsia="zh-CN"/>
        </w:rPr>
        <w:t>第四部分</w:t>
      </w:r>
      <w:r>
        <w:rPr>
          <w:rFonts w:hint="eastAsia" w:ascii="仿宋_GB2312" w:hAnsi="仿宋_GB2312" w:eastAsia="仿宋_GB2312" w:cs="仿宋_GB2312"/>
          <w:color w:val="000000" w:themeColor="text1"/>
          <w:sz w:val="32"/>
          <w:szCs w:val="32"/>
          <w:highlight w:val="none"/>
        </w:rPr>
        <w:t>）。</w:t>
      </w:r>
    </w:p>
    <w:p>
      <w:pPr>
        <w:pStyle w:val="2"/>
        <w:rPr>
          <w:rFonts w:hint="default"/>
          <w:lang w:val="en-US"/>
        </w:rPr>
      </w:pPr>
      <w:r>
        <w:rPr>
          <w:rFonts w:hint="eastAsia" w:ascii="仿宋" w:hAnsi="仿宋" w:eastAsia="仿宋" w:cs="Times New Roman"/>
          <w:color w:val="000000"/>
          <w:kern w:val="2"/>
          <w:sz w:val="32"/>
          <w:szCs w:val="32"/>
          <w:lang w:val="en-US" w:eastAsia="zh-CN" w:bidi="ar"/>
        </w:rPr>
        <w:t xml:space="preserve"> </w:t>
      </w:r>
    </w:p>
    <w:p>
      <w:pPr>
        <w:widowControl/>
        <w:spacing w:line="576" w:lineRule="exact"/>
        <w:jc w:val="center"/>
        <w:rPr>
          <w:rFonts w:ascii="方正小标宋简体" w:hAnsi="方正小标宋简体" w:eastAsia="方正小标宋简体" w:cs="方正小标宋简体"/>
          <w:bCs/>
          <w:sz w:val="44"/>
          <w:szCs w:val="44"/>
        </w:rPr>
      </w:pPr>
    </w:p>
    <w:p>
      <w:pPr>
        <w:widowControl/>
        <w:spacing w:line="576" w:lineRule="exact"/>
        <w:jc w:val="center"/>
      </w:pPr>
      <w:r>
        <w:rPr>
          <w:rFonts w:hint="eastAsia" w:ascii="方正小标宋简体" w:hAnsi="方正小标宋简体" w:eastAsia="方正小标宋简体" w:cs="方正小标宋简体"/>
          <w:bCs/>
          <w:sz w:val="44"/>
          <w:szCs w:val="44"/>
        </w:rPr>
        <w:t>第三部分名词解释</w:t>
      </w:r>
      <w:bookmarkEnd w:id="55"/>
      <w:bookmarkEnd w:id="56"/>
    </w:p>
    <w:p>
      <w:pPr>
        <w:keepNext/>
        <w:keepLines/>
        <w:spacing w:line="576" w:lineRule="exact"/>
        <w:ind w:right="442"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5"/>
        <w:spacing w:line="576" w:lineRule="exact"/>
        <w:ind w:firstLine="640" w:firstLineChars="200"/>
        <w:jc w:val="both"/>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pStyle w:val="25"/>
        <w:spacing w:line="576" w:lineRule="exact"/>
        <w:ind w:firstLine="640" w:firstLineChars="200"/>
        <w:jc w:val="both"/>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hAnsi="仿宋_GB2312" w:eastAsia="仿宋_GB2312" w:cs="仿宋_GB2312"/>
          <w:sz w:val="32"/>
          <w:szCs w:val="32"/>
        </w:rPr>
        <w:t>一般公共服务支出（类）201政府办公厅（室）及相关机构事务（款）03行政运行（项）01：指反映行政单位（包括实行公务员管理的事业单位）的基本支出。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pStyle w:val="14"/>
        <w:spacing w:line="576" w:lineRule="exact"/>
        <w:ind w:left="0" w:leftChars="0" w:firstLine="64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一般公共服务支出（类）201政府办公厅（室）及相关机构事务（款）03机关服务</w:t>
      </w:r>
      <w:r>
        <w:rPr>
          <w:rFonts w:hint="eastAsia" w:ascii="仿宋_GB2312" w:eastAsia="仿宋_GB2312"/>
          <w:color w:val="000000"/>
          <w:sz w:val="32"/>
          <w:szCs w:val="32"/>
        </w:rPr>
        <w:t>（项）03：指反映行政单位（包括实行公务员管理的事业单位）提供事业后勤服务的各类后勤服务中心、医务室等附属事业单位支出。其他事业单位支出，凡单独设置了项级科目的，在单独设置的项级科目中反映。未单独设项级科目的，在“其他”项级科目中反映。</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一般公共服务支出（类）201政府办公厅（室）及相关机构事务（款）03其他政府办公厅（室）及相关机构事务支出</w:t>
      </w:r>
      <w:r>
        <w:rPr>
          <w:rFonts w:hint="eastAsia" w:ascii="仿宋_GB2312" w:eastAsia="仿宋_GB2312"/>
          <w:color w:val="000000"/>
          <w:sz w:val="32"/>
          <w:szCs w:val="32"/>
        </w:rPr>
        <w:t>（项）99：反映除上述项目以外的其他政府</w:t>
      </w:r>
      <w:r>
        <w:rPr>
          <w:rFonts w:hint="eastAsia" w:ascii="仿宋_GB2312" w:eastAsia="仿宋_GB2312"/>
          <w:color w:val="000000"/>
          <w:sz w:val="32"/>
          <w:szCs w:val="32"/>
          <w:lang w:eastAsia="zh-CN"/>
        </w:rPr>
        <w:t>办</w:t>
      </w:r>
      <w:r>
        <w:rPr>
          <w:rFonts w:hint="eastAsia" w:ascii="仿宋_GB2312" w:hAnsi="仿宋_GB2312" w:eastAsia="仿宋_GB2312" w:cs="仿宋_GB2312"/>
          <w:kern w:val="0"/>
          <w:sz w:val="32"/>
          <w:szCs w:val="32"/>
        </w:rPr>
        <w:t>公厅（室）及相关机构事务支出。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 发展与改革事务（款）04日常经济运行调节</w:t>
      </w:r>
      <w:r>
        <w:rPr>
          <w:rFonts w:hint="eastAsia" w:ascii="仿宋_GB2312" w:eastAsia="仿宋_GB2312"/>
          <w:color w:val="000000"/>
          <w:sz w:val="32"/>
          <w:szCs w:val="32"/>
        </w:rPr>
        <w:t>（项）05</w:t>
      </w:r>
      <w:r>
        <w:rPr>
          <w:rFonts w:hint="eastAsia" w:ascii="仿宋_GB2312" w:eastAsia="仿宋_GB2312"/>
          <w:sz w:val="32"/>
          <w:szCs w:val="32"/>
        </w:rPr>
        <w:t>：反映日常经济运行调节方面的支出。</w:t>
      </w:r>
    </w:p>
    <w:p>
      <w:pPr>
        <w:spacing w:line="576" w:lineRule="exact"/>
        <w:ind w:firstLine="640" w:firstLineChars="200"/>
        <w:rPr>
          <w:rStyle w:val="17"/>
          <w:rFonts w:ascii="仿宋_GB2312" w:eastAsia="仿宋_GB2312"/>
          <w:b w:val="0"/>
          <w:color w:val="00000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一般公共服务支出（类）201纪检监察事务（款）11一般行政管理事务（项）02</w:t>
      </w:r>
      <w:r>
        <w:rPr>
          <w:rStyle w:val="17"/>
          <w:rFonts w:hint="eastAsia" w:ascii="仿宋_GB2312" w:eastAsia="仿宋_GB2312"/>
          <w:b w:val="0"/>
          <w:color w:val="000000"/>
          <w:sz w:val="32"/>
          <w:szCs w:val="32"/>
        </w:rPr>
        <w:t xml:space="preserve">：反映行政单位（包括实行公务员管理的事业单位）未单独设置项目科目的其他项目支出。 </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群众团体事务（款）29一其他群众团体事务支出（项）99：</w:t>
      </w:r>
      <w:r>
        <w:rPr>
          <w:rFonts w:hint="eastAsia" w:ascii="仿宋_GB2312" w:eastAsia="仿宋_GB2312"/>
          <w:sz w:val="32"/>
          <w:szCs w:val="32"/>
        </w:rPr>
        <w:t>反映除上诉项目以外其他用于群众团体事务方面的支出。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rPr>
        <w:t>一般公共服务支出（类）201组织事务（款）32</w:t>
      </w:r>
      <w:r>
        <w:rPr>
          <w:rFonts w:hint="eastAsia" w:ascii="仿宋_GB2312" w:eastAsia="仿宋_GB2312"/>
          <w:color w:val="000000"/>
          <w:sz w:val="32"/>
          <w:szCs w:val="32"/>
        </w:rPr>
        <w:t>其 一般行政管理事务（项）02</w:t>
      </w:r>
      <w:r>
        <w:rPr>
          <w:rFonts w:hint="eastAsia" w:ascii="仿宋_GB2312" w:eastAsia="仿宋_GB2312"/>
          <w:sz w:val="32"/>
          <w:szCs w:val="32"/>
        </w:rPr>
        <w:t>：指反映行政单位（包括实行公务员管理的事业单位）未单独设置顶级科目的去他项目支出。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rPr>
        <w:t>一般公共服务（类）201组织事务（款）32</w:t>
      </w:r>
      <w:r>
        <w:rPr>
          <w:rFonts w:hint="eastAsia" w:ascii="仿宋_GB2312" w:eastAsia="仿宋_GB2312"/>
          <w:color w:val="000000"/>
          <w:sz w:val="32"/>
          <w:szCs w:val="32"/>
        </w:rPr>
        <w:t xml:space="preserve"> 其他组织事务支出（项）99：</w:t>
      </w:r>
      <w:r>
        <w:rPr>
          <w:rFonts w:hint="eastAsia" w:ascii="仿宋_GB2312" w:eastAsia="仿宋_GB2312"/>
          <w:sz w:val="32"/>
          <w:szCs w:val="32"/>
        </w:rPr>
        <w:t>反映除上诉项目以外其他用于中国共产党 组织部门的事务支出。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一般公共服务（类）201市场监督管理事务（款）38</w:t>
      </w:r>
      <w:r>
        <w:rPr>
          <w:rFonts w:hint="eastAsia" w:ascii="仿宋_GB2312" w:eastAsia="仿宋_GB2312"/>
          <w:color w:val="000000"/>
          <w:sz w:val="32"/>
          <w:szCs w:val="32"/>
        </w:rPr>
        <w:t>市场监督管理专项（项）04：</w:t>
      </w:r>
      <w:r>
        <w:rPr>
          <w:rFonts w:hint="eastAsia" w:ascii="仿宋_GB2312" w:eastAsia="仿宋_GB2312"/>
          <w:sz w:val="32"/>
          <w:szCs w:val="32"/>
        </w:rPr>
        <w:t>反映从事市场监督管理专项业务方面的支出，单设科目的业务除外。</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.一般公共服务（类）201市场监督管理事务（款）38</w:t>
      </w:r>
      <w:r>
        <w:rPr>
          <w:rFonts w:hint="eastAsia" w:ascii="仿宋_GB2312" w:eastAsia="仿宋_GB2312"/>
          <w:color w:val="000000"/>
          <w:sz w:val="32"/>
          <w:szCs w:val="32"/>
        </w:rPr>
        <w:t>其他市场监督管理事务（项）99：</w:t>
      </w:r>
      <w:r>
        <w:rPr>
          <w:rFonts w:hint="eastAsia" w:ascii="仿宋_GB2312" w:eastAsia="仿宋_GB2312"/>
          <w:sz w:val="32"/>
          <w:szCs w:val="32"/>
        </w:rPr>
        <w:t>反映用于除上述项目以外其他市场监督管理事务方面的支出。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其他一般公共服务支出（款）99其他一般公共服务支出（项）99：反映除上述项目为包括的一般公共服务支出。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.公共安全支出（类）204国家安全（款）03其他国家安全支出（项）99：指反映用于安全方面的支出。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.社会保障和就业支出（类）208行政事业单位离退休（款）05机关事业单位基本养老保险缴费支出（项）05：指反映机关事业单位实施养老保险制度由单位缴纳的基本养老保险费支出。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.社会保障和就业支出（类）208行政事业单位离退休（款）05机关事业单位职业年金缴费支出（项）06：指反映机关事业单位实施养老保险制度由单位实际缴纳的职业年金支出。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.卫生健康支出（类）210公共卫生（款）04突发公共卫生事件应急处理（项）10：</w:t>
      </w:r>
      <w:r>
        <w:rPr>
          <w:rFonts w:hint="eastAsia" w:ascii="仿宋_GB2312" w:eastAsia="仿宋_GB2312"/>
          <w:sz w:val="32"/>
          <w:szCs w:val="32"/>
        </w:rPr>
        <w:t>反映用于突发公共卫生事件应急处理的支出</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.卫生健康支出（类）210行政事业单位医疗（款）11行政事业单位医疗（项）01：</w:t>
      </w:r>
      <w:r>
        <w:rPr>
          <w:rFonts w:hint="eastAsia" w:ascii="仿宋_GB2312" w:eastAsia="仿宋_GB2312"/>
          <w:sz w:val="32"/>
          <w:szCs w:val="32"/>
        </w:rPr>
        <w:t>指反映</w:t>
      </w:r>
      <w:r>
        <w:rPr>
          <w:rFonts w:hint="eastAsia" w:ascii="仿宋_GB2312" w:eastAsia="仿宋_GB2312"/>
          <w:color w:val="000000"/>
          <w:sz w:val="32"/>
          <w:szCs w:val="32"/>
        </w:rPr>
        <w:t>财政部门集中安排的行政单位（包括实行公务员管理事业单位，下同）基本医疗保险缴费经费，未参加医疗保险的行政单位的公费医疗经费，按国家规定享受离休人员、红军老战士待遇的医疗经费。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.城乡社区支出（类）212城乡社区管理事务（款）01城管执法（项）01：放映城市综合管理执法、加强城市市容和环境卫生管理等方面支出。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.城乡社区支出（类）212城乡社区环境卫生（款）05城乡社区环境卫生（项）01：反映城乡社区道路清扫、垃圾清运与处理、公厕建设与维护、园林绿化等方面的支出。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.城乡社区支出（类）212其他城乡社区支出（款）99  其他城乡社区支出（项）01：</w:t>
      </w:r>
      <w:r>
        <w:rPr>
          <w:rFonts w:hint="eastAsia" w:ascii="仿宋_GB2312" w:eastAsia="仿宋_GB2312"/>
          <w:sz w:val="32"/>
          <w:szCs w:val="32"/>
        </w:rPr>
        <w:t>反映除上述以外其他用于城乡社区方面的支出。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农林水支出（类）213农业（款）01病虫害控制（项）08：反映用于病虫鼠害及疫情监测、预报、预防、控制、检疫、防疫所需的仪器、设施、药物、疫苗、种苗，疫畜防治、扑杀补偿及劳务补助、菌（毒）种保藏及动植物及其产品检疫、检测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.农林水支出（类）213农业（款）01</w:t>
      </w:r>
      <w:r>
        <w:rPr>
          <w:rFonts w:hint="eastAsia" w:ascii="仿宋_GB2312" w:eastAsia="仿宋_GB2312"/>
          <w:color w:val="000000"/>
          <w:sz w:val="32"/>
          <w:szCs w:val="32"/>
          <w:lang w:val="en-US" w:eastAsia="zh-CN"/>
        </w:rPr>
        <w:t>对高校毕业生到基层任职补助52</w:t>
      </w:r>
      <w:r>
        <w:rPr>
          <w:rFonts w:hint="eastAsia" w:ascii="仿宋_GB2312" w:eastAsia="仿宋_GB2312"/>
          <w:color w:val="000000"/>
          <w:sz w:val="32"/>
          <w:szCs w:val="32"/>
        </w:rPr>
        <w:t>：反映</w:t>
      </w:r>
      <w:r>
        <w:rPr>
          <w:rFonts w:hint="eastAsia" w:ascii="仿宋_GB2312" w:eastAsia="仿宋_GB2312"/>
          <w:color w:val="000000"/>
          <w:sz w:val="32"/>
          <w:szCs w:val="32"/>
          <w:lang w:val="en-US" w:eastAsia="zh-CN"/>
        </w:rPr>
        <w:t>按规定对高校毕业生到基层任职的补助支出</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.农林水支出（类）213水利（款）03 水利工程运行及维护（项）16：反映对农田水利和打井、集雨设施、节水灌溉等水利设施补助，小型水库除险补助以及排灌站、小水电补助等。</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.农林水支出（类）213农村综合改革（款）07对村民委员会和村党支部的补助（项）05：反映各级财政对村民委员会和村党支部的补助支出，以及支持建立县级基本财力保障机制安排的村级组织运转奖补资金。</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.农林水支出（类）213农村综合改革（款）07对村集体经济组织补助（项）06：反映农村税费改革后对村集体组织的补助支出。</w:t>
      </w:r>
    </w:p>
    <w:p>
      <w:pPr>
        <w:spacing w:line="57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29.交通运输支出（类）214公路水路运输（款）01公路养护（项）06：指反映公路养护支出。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.交通运输支出（类）214公路水路运输（款）01公路和运输安全（项）10：指反映公路和运输安全支出。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31</w:t>
      </w:r>
      <w:r>
        <w:rPr>
          <w:rFonts w:hint="eastAsia" w:ascii="仿宋_GB2312" w:eastAsia="仿宋_GB2312"/>
          <w:color w:val="000000"/>
          <w:sz w:val="32"/>
          <w:szCs w:val="32"/>
        </w:rPr>
        <w:t>.交通运输支出（类）214公路水路运输（款）01其他公路水路运输支出（项）99：指反映上述项目以外其他用于公路水路运输方面的支出。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hint="eastAsia" w:ascii="仿宋_GB2312" w:eastAsia="仿宋_GB2312"/>
          <w:sz w:val="32"/>
          <w:szCs w:val="32"/>
        </w:rPr>
        <w:t>.</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应急管理事务（款）01一般行政管理事务（项）02：反映行政单位（包括实行公务员管理的事业单位）未单独设置项级科目的其他项目的支出。</w:t>
      </w:r>
    </w:p>
    <w:p>
      <w:pPr>
        <w:spacing w:line="576"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lang w:val="en-US" w:eastAsia="zh-CN"/>
        </w:rPr>
        <w:t>34</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应急管理事务（款）01安全监管（项）06：反映安全生产监管方面的支出。</w:t>
      </w:r>
    </w:p>
    <w:p>
      <w:pPr>
        <w:spacing w:line="576" w:lineRule="exact"/>
        <w:ind w:firstLine="640" w:firstLineChars="200"/>
        <w:rPr>
          <w:rFonts w:ascii="仿宋_GB2312" w:eastAsia="仿宋_GB2312"/>
          <w:color w:val="000000"/>
          <w:sz w:val="32"/>
          <w:szCs w:val="32"/>
        </w:rPr>
      </w:pPr>
      <w:r>
        <w:rPr>
          <w:rFonts w:hint="eastAsia" w:ascii="仿宋" w:hAnsi="仿宋" w:eastAsia="仿宋" w:cs="仿宋"/>
          <w:color w:val="000000"/>
          <w:sz w:val="32"/>
          <w:szCs w:val="32"/>
          <w:lang w:val="en-US" w:eastAsia="zh-CN"/>
        </w:rPr>
        <w:t>35</w:t>
      </w:r>
      <w:r>
        <w:rPr>
          <w:rFonts w:hint="eastAsia" w:ascii="仿宋" w:hAnsi="仿宋" w:eastAsia="仿宋" w:cs="仿宋"/>
          <w:color w:val="000000"/>
          <w:sz w:val="32"/>
          <w:szCs w:val="32"/>
        </w:rPr>
        <w:t>.应急防治及应急管理支出（类）224</w:t>
      </w:r>
      <w:r>
        <w:rPr>
          <w:rFonts w:hint="eastAsia" w:ascii="仿宋_GB2312" w:eastAsia="仿宋_GB2312"/>
          <w:color w:val="000000"/>
          <w:sz w:val="32"/>
          <w:szCs w:val="32"/>
        </w:rPr>
        <w:t>应急管理事务（款）01其他应急管理支出（项）99：反映除上述项目外的其他应急管理方面的支出。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9.</w:t>
      </w:r>
      <w:r>
        <w:rPr>
          <w:rFonts w:hint="eastAsia" w:ascii="仿宋" w:hAnsi="仿宋" w:eastAsia="仿宋" w:cs="仿宋"/>
          <w:color w:val="000000"/>
          <w:sz w:val="32"/>
          <w:szCs w:val="32"/>
        </w:rPr>
        <w:t>应急防治及应急管理支出（类）224森林消防事务</w:t>
      </w:r>
      <w:r>
        <w:rPr>
          <w:rFonts w:hint="eastAsia" w:ascii="仿宋_GB2312" w:eastAsia="仿宋_GB2312"/>
          <w:color w:val="000000"/>
          <w:sz w:val="32"/>
          <w:szCs w:val="32"/>
        </w:rPr>
        <w:t>（款）03其他森林消防事务支出（项）99：反映除上述项目外其他用于森林消防方面的支出。</w:t>
      </w:r>
    </w:p>
    <w:p>
      <w:pPr>
        <w:spacing w:line="576" w:lineRule="exact"/>
        <w:ind w:firstLine="640" w:firstLineChars="200"/>
        <w:rPr>
          <w:rFonts w:ascii="仿宋" w:hAnsi="仿宋" w:eastAsia="仿宋" w:cs="仿宋"/>
          <w:color w:val="000000"/>
          <w:sz w:val="32"/>
          <w:szCs w:val="32"/>
        </w:rPr>
      </w:pPr>
      <w:r>
        <w:rPr>
          <w:rFonts w:hint="eastAsia" w:ascii="仿宋_GB2312" w:eastAsia="仿宋_GB2312"/>
          <w:color w:val="000000"/>
          <w:sz w:val="32"/>
          <w:szCs w:val="32"/>
          <w:lang w:val="en-US" w:eastAsia="zh-CN"/>
        </w:rPr>
        <w:t>37</w:t>
      </w:r>
      <w:r>
        <w:rPr>
          <w:rFonts w:hint="eastAsia" w:ascii="仿宋_GB2312" w:eastAsia="仿宋_GB2312"/>
          <w:color w:val="000000"/>
          <w:sz w:val="32"/>
          <w:szCs w:val="32"/>
        </w:rPr>
        <w:t>.</w:t>
      </w:r>
      <w:r>
        <w:rPr>
          <w:rFonts w:hint="eastAsia" w:ascii="仿宋" w:hAnsi="仿宋" w:eastAsia="仿宋" w:cs="仿宋"/>
          <w:color w:val="000000"/>
          <w:sz w:val="32"/>
          <w:szCs w:val="32"/>
        </w:rPr>
        <w:t>应急防治及应急管理支出（类）224自然灾害救灾及恢复重建支出（款）07中央自然灾害生活补助（项）01：反映中央预算对遭受特大自然灾害地区的地方政府在安排受灾群众吃、穿、住和抢救、转移、安置、治病等经费发生困难时给予的专项补助，以及为抗御特大自然灾害而设立的中央级救灾物质储备资金。</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38</w:t>
      </w:r>
      <w:r>
        <w:rPr>
          <w:rFonts w:hint="eastAsia" w:ascii="仿宋" w:hAnsi="仿宋" w:eastAsia="仿宋" w:cs="仿宋"/>
          <w:color w:val="000000"/>
          <w:sz w:val="32"/>
          <w:szCs w:val="32"/>
        </w:rPr>
        <w:t>.应急防治及应急管理支出（类）224自然灾害救灾及恢复重建支出（款）07自然灾害救灾补助（项）03：反映洪水、地质灾害、台风等自然灾害救灾补助，扑救森林草原火灾补助。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39</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 xml:space="preserve">.项目支出：指在基本支出之外为完成特定行政任务和事业发展目标所发生的支出。 </w:t>
      </w:r>
    </w:p>
    <w:p>
      <w:pPr>
        <w:pStyle w:val="25"/>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41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42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76" w:lineRule="exact"/>
        <w:jc w:val="both"/>
        <w:rPr>
          <w:rFonts w:hint="eastAsia" w:ascii="仿宋_GB2312" w:eastAsia="仿宋_GB2312"/>
          <w:sz w:val="32"/>
          <w:szCs w:val="32"/>
        </w:rPr>
      </w:pPr>
    </w:p>
    <w:p>
      <w:pPr>
        <w:pStyle w:val="25"/>
        <w:spacing w:line="576" w:lineRule="exact"/>
        <w:ind w:firstLine="640" w:firstLineChars="200"/>
        <w:jc w:val="both"/>
        <w:rPr>
          <w:rFonts w:hint="eastAsia" w:ascii="仿宋_GB2312" w:eastAsia="仿宋_GB2312"/>
          <w:sz w:val="32"/>
          <w:szCs w:val="32"/>
        </w:rPr>
      </w:pPr>
    </w:p>
    <w:p>
      <w:pPr>
        <w:widowControl/>
        <w:spacing w:line="576" w:lineRule="exact"/>
        <w:jc w:val="center"/>
        <w:rPr>
          <w:rStyle w:val="27"/>
          <w:rFonts w:hint="eastAsia" w:ascii="黑体" w:hAnsi="黑体" w:eastAsia="黑体"/>
          <w:b w:val="0"/>
          <w:lang w:val="en-US" w:eastAsia="zh-CN"/>
        </w:rPr>
      </w:pPr>
      <w:bookmarkStart w:id="57" w:name="_Toc15377226"/>
      <w:bookmarkStart w:id="58" w:name="_Toc15396618"/>
      <w:r>
        <w:rPr>
          <w:rStyle w:val="27"/>
          <w:rFonts w:hint="eastAsia" w:ascii="黑体" w:hAnsi="黑体" w:eastAsia="黑体"/>
          <w:b w:val="0"/>
        </w:rPr>
        <w:t>第</w:t>
      </w:r>
      <w:r>
        <w:rPr>
          <w:rStyle w:val="27"/>
          <w:rFonts w:hint="eastAsia" w:ascii="黑体" w:hAnsi="黑体" w:eastAsia="黑体"/>
          <w:b w:val="0"/>
          <w:lang w:val="en-US" w:eastAsia="zh-CN"/>
        </w:rPr>
        <w:t>四</w:t>
      </w:r>
      <w:r>
        <w:rPr>
          <w:rStyle w:val="27"/>
          <w:rFonts w:hint="eastAsia" w:ascii="黑体" w:hAnsi="黑体" w:eastAsia="黑体"/>
          <w:b w:val="0"/>
        </w:rPr>
        <w:t>部分</w:t>
      </w:r>
      <w:r>
        <w:rPr>
          <w:rStyle w:val="27"/>
          <w:rFonts w:hint="eastAsia" w:ascii="黑体" w:hAnsi="黑体" w:eastAsia="黑体"/>
          <w:b w:val="0"/>
          <w:lang w:val="en-US" w:eastAsia="zh-CN"/>
        </w:rPr>
        <w:t xml:space="preserve">  </w:t>
      </w:r>
      <w:r>
        <w:rPr>
          <w:rStyle w:val="27"/>
          <w:rFonts w:hint="eastAsia" w:ascii="黑体" w:hAnsi="黑体" w:eastAsia="黑体"/>
          <w:b w:val="0"/>
        </w:rPr>
        <w:t>附</w:t>
      </w:r>
      <w:r>
        <w:rPr>
          <w:rStyle w:val="27"/>
          <w:rFonts w:hint="eastAsia" w:ascii="黑体" w:hAnsi="黑体" w:eastAsia="黑体"/>
          <w:b w:val="0"/>
          <w:lang w:val="en-US" w:eastAsia="zh-CN"/>
        </w:rPr>
        <w:t>件</w:t>
      </w:r>
    </w:p>
    <w:p>
      <w:pPr>
        <w:pStyle w:val="2"/>
        <w:rPr>
          <w:rFonts w:hint="eastAsia"/>
          <w:lang w:eastAsia="zh-CN"/>
        </w:rPr>
      </w:pPr>
    </w:p>
    <w:p>
      <w:pPr>
        <w:pStyle w:val="3"/>
        <w:spacing w:line="576" w:lineRule="exact"/>
        <w:rPr>
          <w:sz w:val="32"/>
          <w:szCs w:val="32"/>
        </w:rPr>
      </w:pPr>
      <w:r>
        <w:rPr>
          <w:rStyle w:val="27"/>
          <w:rFonts w:hint="eastAsia" w:ascii="黑体" w:hAnsi="黑体" w:eastAsia="黑体" w:cs="黑体"/>
          <w:b w:val="0"/>
          <w:bCs w:val="0"/>
          <w:color w:val="000000" w:themeColor="text1"/>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rPr>
      </w:pPr>
      <w:r>
        <w:rPr>
          <w:rFonts w:hint="eastAsia" w:ascii="方正小标宋简体" w:hAnsi="方正小标宋简体" w:eastAsia="方正小标宋简体" w:cs="方正小标宋简体"/>
          <w:color w:val="000000" w:themeColor="text1"/>
          <w:sz w:val="44"/>
          <w:szCs w:val="44"/>
          <w:highlight w:val="none"/>
          <w:lang w:eastAsia="zh-CN"/>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rPr>
        <w:t>石龙办事处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rPr>
      </w:pPr>
      <w:r>
        <w:rPr>
          <w:rFonts w:hint="eastAsia" w:ascii="方正小标宋简体" w:hAnsi="方正小标宋简体" w:eastAsia="方正小标宋简体" w:cs="方正小标宋简体"/>
          <w:color w:val="000000" w:themeColor="text1"/>
          <w:sz w:val="44"/>
          <w:szCs w:val="44"/>
          <w:highlight w:val="none"/>
        </w:rPr>
        <w:t>关于</w:t>
      </w:r>
      <w:r>
        <w:rPr>
          <w:rFonts w:hint="eastAsia" w:ascii="方正小标宋简体" w:hAnsi="方正小标宋简体" w:eastAsia="方正小标宋简体" w:cs="方正小标宋简体"/>
          <w:color w:val="000000" w:themeColor="text1"/>
          <w:sz w:val="44"/>
          <w:szCs w:val="44"/>
          <w:highlight w:val="none"/>
          <w:lang w:val="en-US" w:eastAsia="zh-CN"/>
        </w:rPr>
        <w:t>维稳、信访、扫黑、防邪、禁毒资金</w:t>
      </w:r>
      <w:r>
        <w:rPr>
          <w:rFonts w:hint="eastAsia" w:ascii="方正小标宋简体" w:hAnsi="方正小标宋简体" w:eastAsia="方正小标宋简体" w:cs="方正小标宋简体"/>
          <w:color w:val="000000" w:themeColor="text1"/>
          <w:sz w:val="44"/>
          <w:szCs w:val="44"/>
          <w:highlight w:val="none"/>
          <w:lang w:eastAsia="zh-CN"/>
        </w:rPr>
        <w:t>项目</w:t>
      </w:r>
      <w:r>
        <w:rPr>
          <w:rFonts w:hint="eastAsia" w:ascii="方正小标宋简体" w:hAnsi="方正小标宋简体" w:eastAsia="方正小标宋简体" w:cs="方正小标宋简体"/>
          <w:color w:val="000000" w:themeColor="text1"/>
          <w:sz w:val="44"/>
          <w:szCs w:val="44"/>
          <w:highlight w:val="none"/>
        </w:rPr>
        <w:t>支出绩效</w:t>
      </w:r>
      <w:r>
        <w:rPr>
          <w:rFonts w:hint="eastAsia" w:ascii="方正小标宋简体" w:hAnsi="方正小标宋简体" w:eastAsia="方正小标宋简体" w:cs="方正小标宋简体"/>
          <w:color w:val="000000" w:themeColor="text1"/>
          <w:sz w:val="44"/>
          <w:szCs w:val="44"/>
          <w:highlight w:val="none"/>
          <w:lang w:eastAsia="zh-CN"/>
        </w:rPr>
        <w:t>自</w:t>
      </w:r>
      <w:r>
        <w:rPr>
          <w:rFonts w:hint="eastAsia" w:ascii="方正小标宋简体" w:hAnsi="方正小标宋简体" w:eastAsia="方正小标宋简体" w:cs="方正小标宋简体"/>
          <w:color w:val="000000" w:themeColor="text1"/>
          <w:sz w:val="44"/>
          <w:szCs w:val="44"/>
          <w:highlight w:val="none"/>
        </w:rPr>
        <w:t>评</w:t>
      </w:r>
      <w:r>
        <w:rPr>
          <w:rFonts w:hint="eastAsia" w:ascii="方正小标宋简体" w:hAnsi="方正小标宋简体" w:eastAsia="方正小标宋简体" w:cs="方正小标宋简体"/>
          <w:color w:val="000000" w:themeColor="text1"/>
          <w:sz w:val="44"/>
          <w:szCs w:val="44"/>
          <w:highlight w:val="none"/>
          <w:lang w:eastAsia="zh-CN"/>
        </w:rPr>
        <w:t>报告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rPr>
        <w:t>现将我街道维稳、信访、防邪、禁毒、扫黑除恶项目支出绩效自评报告如下。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rPr>
      </w:pPr>
      <w:r>
        <w:rPr>
          <w:rFonts w:hint="eastAsia" w:ascii="黑体" w:hAnsi="黑体" w:eastAsia="黑体" w:cs="黑体"/>
          <w:color w:val="000000" w:themeColor="text1"/>
          <w:sz w:val="32"/>
          <w:szCs w:val="32"/>
          <w:highlight w:val="none"/>
          <w:lang w:val="en-US" w:eastAsia="zh-CN"/>
        </w:rPr>
        <w:t>一、</w:t>
      </w:r>
      <w:r>
        <w:rPr>
          <w:rFonts w:hint="eastAsia" w:ascii="黑体" w:hAnsi="黑体" w:eastAsia="黑体" w:cs="黑体"/>
          <w:color w:val="000000" w:themeColor="text1"/>
          <w:sz w:val="32"/>
          <w:szCs w:val="32"/>
          <w:highlight w:val="none"/>
          <w:lang w:val="zh-CN" w:eastAsia="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rPr>
      </w:pPr>
      <w:r>
        <w:rPr>
          <w:rFonts w:hint="eastAsia" w:ascii="仿宋_GB2312" w:hAnsi="仿宋_GB2312" w:eastAsia="仿宋_GB2312" w:cs="仿宋_GB2312"/>
          <w:color w:val="000000" w:themeColor="text1"/>
          <w:sz w:val="32"/>
          <w:szCs w:val="32"/>
          <w:highlight w:val="none"/>
        </w:rPr>
        <w:t>按照</w:t>
      </w:r>
      <w:r>
        <w:rPr>
          <w:rFonts w:hint="eastAsia" w:ascii="仿宋_GB2312" w:hAnsi="仿宋_GB2312" w:eastAsia="仿宋_GB2312" w:cs="仿宋_GB2312"/>
          <w:color w:val="000000" w:themeColor="text1"/>
          <w:sz w:val="32"/>
          <w:szCs w:val="32"/>
          <w:highlight w:val="none"/>
          <w:lang w:val="en-US" w:eastAsia="zh-CN"/>
        </w:rPr>
        <w:t>广开财预〔2021〕6号预算通知执行</w:t>
      </w:r>
      <w:r>
        <w:rPr>
          <w:rFonts w:hint="eastAsia" w:ascii="仿宋_GB2312" w:hAnsi="仿宋_GB2312" w:eastAsia="仿宋_GB2312" w:cs="仿宋_GB2312"/>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val="en-US" w:eastAsia="zh-CN"/>
        </w:rPr>
        <w:t>1、</w:t>
      </w:r>
      <w:r>
        <w:rPr>
          <w:rFonts w:hint="eastAsia" w:ascii="仿宋_GB2312" w:hAnsi="仿宋_GB2312" w:eastAsia="仿宋_GB2312" w:cs="仿宋_GB2312"/>
          <w:color w:val="000000" w:themeColor="text1"/>
          <w:sz w:val="32"/>
          <w:szCs w:val="32"/>
          <w:highlight w:val="none"/>
        </w:rPr>
        <w:t>保障石龙办事处信访、维稳、防邪、禁毒、扫黑除恶宣传等日常工作正常运行。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2、通过深入开展扫黑除恶工作，切实增强广大群众的安全感和满意度。</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zh-CN" w:eastAsia="zh-CN"/>
        </w:rPr>
        <w:t>项目申报内容均为</w:t>
      </w:r>
      <w:r>
        <w:rPr>
          <w:rFonts w:hint="eastAsia" w:ascii="仿宋_GB2312" w:hAnsi="仿宋_GB2312" w:eastAsia="仿宋_GB2312" w:cs="仿宋_GB2312"/>
          <w:color w:val="000000" w:themeColor="text1"/>
          <w:sz w:val="32"/>
          <w:szCs w:val="32"/>
          <w:highlight w:val="none"/>
        </w:rPr>
        <w:t>信访、维稳、防邪、禁毒、扫黑</w:t>
      </w:r>
      <w:r>
        <w:rPr>
          <w:rFonts w:hint="eastAsia" w:ascii="仿宋_GB2312" w:hAnsi="仿宋_GB2312" w:eastAsia="仿宋_GB2312" w:cs="仿宋_GB2312"/>
          <w:color w:val="000000" w:themeColor="text1"/>
          <w:sz w:val="32"/>
          <w:szCs w:val="32"/>
          <w:highlight w:val="none"/>
          <w:lang w:val="en-US" w:eastAsia="zh-CN"/>
        </w:rPr>
        <w:t>工作</w:t>
      </w:r>
      <w:r>
        <w:rPr>
          <w:rFonts w:hint="eastAsia" w:ascii="仿宋_GB2312" w:hAnsi="仿宋_GB2312" w:eastAsia="仿宋_GB2312" w:cs="仿宋_GB2312"/>
          <w:color w:val="000000" w:themeColor="text1"/>
          <w:sz w:val="32"/>
          <w:szCs w:val="32"/>
          <w:highlight w:val="none"/>
          <w:lang w:val="zh-CN" w:eastAsia="zh-CN"/>
        </w:rPr>
        <w:t>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rPr>
      </w:pPr>
      <w:r>
        <w:rPr>
          <w:rFonts w:hint="eastAsia" w:ascii="黑体" w:hAnsi="黑体" w:eastAsia="黑体" w:cs="黑体"/>
          <w:color w:val="000000" w:themeColor="text1"/>
          <w:sz w:val="32"/>
          <w:szCs w:val="32"/>
          <w:highlight w:val="none"/>
          <w:lang w:val="en-US" w:eastAsia="zh-CN"/>
        </w:rPr>
        <w:t xml:space="preserve"> </w:t>
      </w:r>
      <w:r>
        <w:rPr>
          <w:rFonts w:hint="eastAsia" w:ascii="黑体" w:hAnsi="黑体" w:eastAsia="黑体" w:cs="黑体"/>
          <w:color w:val="000000" w:themeColor="text1"/>
          <w:sz w:val="32"/>
          <w:szCs w:val="32"/>
          <w:highlight w:val="none"/>
          <w:lang w:eastAsia="zh-CN"/>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资金到位</w:t>
      </w:r>
      <w:r>
        <w:rPr>
          <w:rFonts w:hint="eastAsia" w:ascii="仿宋_GB2312" w:hAnsi="仿宋_GB2312" w:eastAsia="仿宋_GB2312" w:cs="仿宋_GB2312"/>
          <w:color w:val="000000" w:themeColor="text1"/>
          <w:sz w:val="32"/>
          <w:szCs w:val="32"/>
          <w:highlight w:val="none"/>
          <w:lang w:val="en-US" w:eastAsia="zh-CN"/>
        </w:rPr>
        <w:t>5万元。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合计使用5万元，其中宣传单制作、信访条例制作宣传费用发生1万元，其他工作开展4万元。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rPr>
      </w:pPr>
      <w:r>
        <w:rPr>
          <w:rFonts w:hint="eastAsia" w:ascii="仿宋_GB2312" w:hAnsi="仿宋_GB2312" w:eastAsia="仿宋_GB2312" w:cs="仿宋_GB2312"/>
          <w:color w:val="000000" w:themeColor="text1"/>
          <w:sz w:val="32"/>
          <w:szCs w:val="32"/>
          <w:highlight w:val="none"/>
          <w:lang w:val="zh-CN" w:eastAsia="zh-CN"/>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rPr>
      </w:pPr>
      <w:r>
        <w:rPr>
          <w:rFonts w:hint="eastAsia" w:ascii="楷体_GB2312" w:hAnsi="楷体_GB2312" w:eastAsia="楷体_GB2312" w:cs="楷体_GB2312"/>
          <w:b w:val="0"/>
          <w:bCs w:val="0"/>
          <w:color w:val="000000" w:themeColor="text1"/>
          <w:sz w:val="32"/>
          <w:szCs w:val="32"/>
          <w:highlight w:val="none"/>
          <w:lang w:val="zh-CN" w:eastAsia="zh-CN"/>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rPr>
      </w:pPr>
      <w:r>
        <w:rPr>
          <w:rFonts w:hint="eastAsia" w:ascii="仿宋_GB2312" w:hAnsi="仿宋_GB2312" w:eastAsia="仿宋_GB2312" w:cs="仿宋_GB2312"/>
          <w:color w:val="000000" w:themeColor="text1"/>
          <w:sz w:val="32"/>
          <w:szCs w:val="32"/>
          <w:highlight w:val="none"/>
          <w:lang w:val="en-US" w:eastAsia="zh-CN"/>
        </w:rPr>
        <w:t>宣传由经办部门按照经批准的实施方案实施，</w:t>
      </w:r>
      <w:r>
        <w:rPr>
          <w:rFonts w:hint="eastAsia" w:ascii="仿宋_GB2312" w:hAnsi="仿宋_GB2312" w:eastAsia="仿宋_GB2312" w:cs="仿宋_GB2312"/>
          <w:color w:val="000000" w:themeColor="text1"/>
          <w:sz w:val="32"/>
          <w:szCs w:val="32"/>
          <w:highlight w:val="none"/>
        </w:rPr>
        <w:t>主要是制作</w:t>
      </w:r>
      <w:r>
        <w:rPr>
          <w:rFonts w:hint="eastAsia" w:ascii="仿宋_GB2312" w:hAnsi="仿宋_GB2312" w:eastAsia="仿宋_GB2312" w:cs="仿宋_GB2312"/>
          <w:color w:val="000000" w:themeColor="text1"/>
          <w:sz w:val="32"/>
          <w:szCs w:val="32"/>
          <w:highlight w:val="none"/>
          <w:lang w:val="en-US" w:eastAsia="zh-CN"/>
        </w:rPr>
        <w:t>信访条例</w:t>
      </w:r>
      <w:r>
        <w:rPr>
          <w:rFonts w:hint="eastAsia" w:ascii="仿宋_GB2312" w:hAnsi="仿宋_GB2312" w:eastAsia="仿宋_GB2312" w:cs="仿宋_GB2312"/>
          <w:color w:val="000000" w:themeColor="text1"/>
          <w:sz w:val="32"/>
          <w:szCs w:val="32"/>
          <w:highlight w:val="none"/>
        </w:rPr>
        <w:t>手册、宣传栏等</w:t>
      </w:r>
      <w:r>
        <w:rPr>
          <w:rFonts w:hint="eastAsia" w:ascii="仿宋_GB2312" w:hAnsi="仿宋_GB2312" w:eastAsia="仿宋_GB2312" w:cs="仿宋_GB2312"/>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完成了宣传资料的制作、</w:t>
      </w:r>
      <w:r>
        <w:rPr>
          <w:rFonts w:hint="eastAsia" w:ascii="仿宋_GB2312" w:hAnsi="仿宋_GB2312" w:eastAsia="仿宋_GB2312" w:cs="仿宋_GB2312"/>
          <w:color w:val="000000" w:themeColor="text1"/>
          <w:sz w:val="32"/>
          <w:szCs w:val="32"/>
          <w:highlight w:val="none"/>
          <w:lang w:val="en-US" w:eastAsia="zh-CN"/>
        </w:rPr>
        <w:t>宣传50册。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石龙街道辖区</w:t>
      </w:r>
      <w:r>
        <w:rPr>
          <w:rFonts w:hint="eastAsia" w:ascii="仿宋_GB2312" w:hAnsi="仿宋_GB2312" w:eastAsia="仿宋_GB2312" w:cs="仿宋_GB2312"/>
          <w:color w:val="000000" w:themeColor="text1"/>
          <w:sz w:val="32"/>
          <w:szCs w:val="32"/>
          <w:highlight w:val="none"/>
          <w:lang w:val="en-US" w:eastAsia="zh-CN"/>
        </w:rPr>
        <w:t>治安</w:t>
      </w:r>
      <w:r>
        <w:rPr>
          <w:rFonts w:hint="eastAsia" w:ascii="仿宋_GB2312" w:hAnsi="仿宋_GB2312" w:eastAsia="仿宋_GB2312" w:cs="仿宋_GB2312"/>
          <w:color w:val="000000" w:themeColor="text1"/>
          <w:sz w:val="32"/>
          <w:szCs w:val="32"/>
          <w:highlight w:val="none"/>
        </w:rPr>
        <w:t>环境不断改善，</w:t>
      </w:r>
      <w:r>
        <w:rPr>
          <w:rFonts w:hint="eastAsia" w:ascii="仿宋_GB2312" w:hAnsi="仿宋_GB2312" w:eastAsia="仿宋_GB2312" w:cs="仿宋_GB2312"/>
          <w:color w:val="000000" w:themeColor="text1"/>
          <w:sz w:val="32"/>
          <w:szCs w:val="32"/>
          <w:highlight w:val="none"/>
          <w:lang w:val="en-US" w:eastAsia="zh-CN"/>
        </w:rPr>
        <w:t>群众幸福度上升，群众违法犯罪</w:t>
      </w:r>
      <w:r>
        <w:rPr>
          <w:rFonts w:hint="eastAsia" w:ascii="仿宋_GB2312" w:hAnsi="仿宋_GB2312" w:eastAsia="仿宋_GB2312" w:cs="仿宋_GB2312"/>
          <w:color w:val="000000" w:themeColor="text1"/>
          <w:sz w:val="32"/>
          <w:szCs w:val="32"/>
          <w:highlight w:val="none"/>
        </w:rPr>
        <w:t>指数不断下降，努力营造了石龙辖区安居乐业的良好</w:t>
      </w:r>
      <w:r>
        <w:rPr>
          <w:rFonts w:hint="eastAsia" w:ascii="仿宋_GB2312" w:hAnsi="仿宋_GB2312" w:eastAsia="仿宋_GB2312" w:cs="仿宋_GB2312"/>
          <w:color w:val="000000" w:themeColor="text1"/>
          <w:sz w:val="32"/>
          <w:szCs w:val="32"/>
          <w:highlight w:val="none"/>
          <w:lang w:val="en-US" w:eastAsia="zh-CN"/>
        </w:rPr>
        <w:t>社会</w:t>
      </w:r>
      <w:r>
        <w:rPr>
          <w:rFonts w:hint="eastAsia" w:ascii="仿宋_GB2312" w:hAnsi="仿宋_GB2312" w:eastAsia="仿宋_GB2312" w:cs="仿宋_GB2312"/>
          <w:color w:val="000000" w:themeColor="text1"/>
          <w:sz w:val="32"/>
          <w:szCs w:val="32"/>
          <w:highlight w:val="none"/>
        </w:rPr>
        <w:t>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rPr>
      </w:pPr>
      <w:r>
        <w:rPr>
          <w:rFonts w:hint="eastAsia" w:ascii="仿宋_GB2312" w:hAnsi="仿宋_GB2312" w:eastAsia="仿宋_GB2312" w:cs="仿宋_GB2312"/>
          <w:color w:val="000000" w:themeColor="text1"/>
          <w:sz w:val="32"/>
          <w:szCs w:val="32"/>
          <w:highlight w:val="none"/>
          <w:lang w:val="zh-CN" w:eastAsia="zh-CN"/>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zh-CN" w:eastAsia="zh-CN"/>
        </w:rPr>
        <w:t>（二）存在的问题</w:t>
      </w:r>
      <w:r>
        <w:rPr>
          <w:rFonts w:hint="eastAsia" w:ascii="楷体_GB2312" w:hAnsi="楷体_GB2312" w:eastAsia="楷体_GB2312" w:cs="楷体_GB2312"/>
          <w:b/>
          <w:bCs/>
          <w:color w:val="000000" w:themeColor="text1"/>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rPr>
        <w:t>做好</w:t>
      </w:r>
      <w:r>
        <w:rPr>
          <w:rFonts w:hint="eastAsia" w:ascii="仿宋_GB2312" w:hAnsi="仿宋_GB2312" w:eastAsia="仿宋_GB2312" w:cs="仿宋_GB2312"/>
          <w:color w:val="000000" w:themeColor="text1"/>
          <w:sz w:val="32"/>
          <w:szCs w:val="32"/>
          <w:highlight w:val="none"/>
          <w:lang w:val="en-US" w:eastAsia="zh-CN"/>
        </w:rPr>
        <w:t>信访条例等</w:t>
      </w:r>
      <w:r>
        <w:rPr>
          <w:rFonts w:hint="eastAsia" w:ascii="仿宋_GB2312" w:hAnsi="仿宋_GB2312" w:eastAsia="仿宋_GB2312" w:cs="仿宋_GB2312"/>
          <w:color w:val="000000" w:themeColor="text1"/>
          <w:sz w:val="32"/>
          <w:szCs w:val="32"/>
          <w:highlight w:val="none"/>
        </w:rPr>
        <w:t>宣传教育</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lang w:val="en-US" w:eastAsia="zh-CN"/>
        </w:rPr>
        <w:t>提高群众法治意识，对一些干部在行使公务权利有异议，引导群众采取正当合法信访。</w:t>
      </w:r>
      <w:r>
        <w:rPr>
          <w:rFonts w:hint="eastAsia" w:ascii="仿宋_GB2312" w:hAnsi="仿宋_GB2312" w:eastAsia="仿宋_GB2312" w:cs="仿宋_GB2312"/>
          <w:color w:val="000000" w:themeColor="text1"/>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560" w:firstLineChars="800"/>
        <w:jc w:val="both"/>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 xml:space="preserve"> 广元经济技术开发区石龙街道办事处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2022年4月20日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rPr>
        <w:t>项目支出绩效目标自评表</w:t>
      </w:r>
    </w:p>
    <w:tbl>
      <w:tblPr>
        <w:tblStyle w:val="15"/>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信访、维稳、扫黑、防邪、禁毒项目资金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广元经济技术开发区石龙街道办事处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5</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5</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预防群体事件，确保社会稳定</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eastAsia="zh-CN"/>
              </w:rPr>
            </w:pPr>
            <w:r>
              <w:rPr>
                <w:rFonts w:hint="eastAsia" w:ascii="宋体" w:hAnsi="宋体" w:cs="宋体"/>
                <w:i w:val="0"/>
                <w:iCs w:val="0"/>
                <w:color w:val="000000" w:themeColor="text1"/>
                <w:sz w:val="24"/>
                <w:szCs w:val="24"/>
                <w:highlight w:val="none"/>
                <w:u w:val="none"/>
                <w:lang w:val="en-US" w:eastAsia="zh-CN"/>
              </w:rPr>
              <w:t>全年无群访事件发生，辖区社会环境安全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指标1：值班人次</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w:t>
            </w:r>
            <w:r>
              <w:rPr>
                <w:rFonts w:hint="eastAsia" w:ascii="宋体" w:hAnsi="宋体" w:cs="宋体"/>
                <w:i w:val="0"/>
                <w:iCs w:val="0"/>
                <w:color w:val="000000" w:themeColor="text1"/>
                <w:kern w:val="0"/>
                <w:sz w:val="24"/>
                <w:szCs w:val="24"/>
                <w:highlight w:val="none"/>
                <w:u w:val="none"/>
                <w:lang w:val="en-US" w:eastAsia="zh-CN" w:bidi="ar"/>
              </w:rPr>
              <w:t>5</w:t>
            </w:r>
            <w:r>
              <w:rPr>
                <w:rFonts w:hint="eastAsia" w:ascii="宋体" w:hAnsi="宋体" w:eastAsia="宋体" w:cs="宋体"/>
                <w:i w:val="0"/>
                <w:iCs w:val="0"/>
                <w:color w:val="000000" w:themeColor="text1"/>
                <w:kern w:val="0"/>
                <w:sz w:val="24"/>
                <w:szCs w:val="24"/>
                <w:highlight w:val="none"/>
                <w:u w:val="none"/>
                <w:lang w:val="en-US" w:eastAsia="zh-CN" w:bidi="ar"/>
              </w:rPr>
              <w:t>0次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全年安全维稳值班等50人次以上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指标2：宣传册印刷</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eastAsia="zh-CN"/>
              </w:rPr>
            </w:pPr>
            <w:r>
              <w:rPr>
                <w:rFonts w:hint="eastAsia" w:ascii="宋体" w:hAnsi="宋体" w:eastAsia="宋体" w:cs="宋体"/>
                <w:i w:val="0"/>
                <w:iCs w:val="0"/>
                <w:color w:val="000000" w:themeColor="text1"/>
                <w:sz w:val="24"/>
                <w:szCs w:val="24"/>
                <w:highlight w:val="none"/>
                <w:u w:val="none"/>
              </w:rPr>
              <w:t>≥</w:t>
            </w:r>
            <w:r>
              <w:rPr>
                <w:rFonts w:hint="eastAsia" w:ascii="宋体" w:hAnsi="宋体" w:cs="宋体"/>
                <w:i w:val="0"/>
                <w:iCs w:val="0"/>
                <w:color w:val="000000" w:themeColor="text1"/>
                <w:sz w:val="24"/>
                <w:szCs w:val="24"/>
                <w:highlight w:val="none"/>
                <w:u w:val="none"/>
                <w:lang w:val="en-US" w:eastAsia="zh-CN"/>
              </w:rPr>
              <w:t>50册</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50册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指标1：有效预防和制止违法犯罪</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较上年度街面违法犯罪案件下降</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较上年度街面违法犯罪案件下降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指标1：宣传业务费</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cs="宋体"/>
                <w:i w:val="0"/>
                <w:iCs w:val="0"/>
                <w:color w:val="000000" w:themeColor="text1"/>
                <w:kern w:val="0"/>
                <w:sz w:val="24"/>
                <w:szCs w:val="24"/>
                <w:highlight w:val="none"/>
                <w:u w:val="none"/>
                <w:lang w:val="en-US" w:eastAsia="zh-CN" w:bidi="ar"/>
              </w:rPr>
              <w:t>5</w:t>
            </w:r>
            <w:r>
              <w:rPr>
                <w:rFonts w:hint="eastAsia" w:ascii="宋体" w:hAnsi="宋体" w:eastAsia="宋体" w:cs="宋体"/>
                <w:i w:val="0"/>
                <w:iCs w:val="0"/>
                <w:color w:val="000000" w:themeColor="text1"/>
                <w:kern w:val="0"/>
                <w:sz w:val="24"/>
                <w:szCs w:val="24"/>
                <w:highlight w:val="none"/>
                <w:u w:val="none"/>
                <w:lang w:val="en-US" w:eastAsia="zh-CN" w:bidi="ar"/>
              </w:rPr>
              <w:t>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cs="宋体"/>
                <w:i w:val="0"/>
                <w:iCs w:val="0"/>
                <w:color w:val="000000" w:themeColor="text1"/>
                <w:kern w:val="0"/>
                <w:sz w:val="24"/>
                <w:szCs w:val="24"/>
                <w:highlight w:val="none"/>
                <w:u w:val="none"/>
                <w:lang w:val="en-US" w:eastAsia="zh-CN" w:bidi="ar"/>
              </w:rPr>
              <w:t>5</w:t>
            </w:r>
            <w:r>
              <w:rPr>
                <w:rFonts w:hint="eastAsia" w:ascii="宋体" w:hAnsi="宋体" w:eastAsia="宋体" w:cs="宋体"/>
                <w:i w:val="0"/>
                <w:iCs w:val="0"/>
                <w:color w:val="000000" w:themeColor="text1"/>
                <w:kern w:val="0"/>
                <w:sz w:val="24"/>
                <w:szCs w:val="24"/>
                <w:highlight w:val="none"/>
                <w:u w:val="none"/>
                <w:lang w:val="en-US" w:eastAsia="zh-CN" w:bidi="ar"/>
              </w:rPr>
              <w:t>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指标1：维护稳定</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预防群体事件，确保社会稳定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预防群体事件，确保社会稳定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指标2：社会环境</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保障辖区社会环境安全</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保障辖区社会环境安全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可持续影响</w:t>
            </w:r>
          </w:p>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sz w:val="24"/>
                <w:szCs w:val="24"/>
                <w:highlight w:val="none"/>
                <w:u w:val="none"/>
              </w:rPr>
              <w:t>指标1：防邪、禁毒、扫黑除恶宣传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有效预防和制止违法犯罪，促进社会和谐稳定</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有效预防和制止违法犯罪，促进社会和谐稳定</w:t>
            </w:r>
          </w:p>
        </w:tc>
      </w:tr>
    </w:tbl>
    <w:p>
      <w:pPr>
        <w:pStyle w:val="3"/>
        <w:spacing w:line="576" w:lineRule="exact"/>
        <w:rPr>
          <w:rFonts w:hint="eastAsia" w:eastAsia="黑体"/>
          <w:lang w:val="en-US" w:eastAsia="zh-CN"/>
        </w:rPr>
      </w:pPr>
      <w:r>
        <w:rPr>
          <w:rStyle w:val="27"/>
          <w:rFonts w:hint="eastAsia" w:ascii="黑体" w:hAnsi="黑体" w:eastAsia="黑体" w:cs="黑体"/>
          <w:b w:val="0"/>
          <w:bCs w:val="0"/>
          <w:color w:val="000000" w:themeColor="text1"/>
          <w:sz w:val="32"/>
          <w:szCs w:val="32"/>
          <w:highlight w:val="none"/>
        </w:rPr>
        <w:t>附件</w:t>
      </w:r>
      <w:r>
        <w:rPr>
          <w:rStyle w:val="27"/>
          <w:rFonts w:hint="eastAsia" w:ascii="黑体" w:hAnsi="黑体" w:eastAsia="黑体" w:cs="黑体"/>
          <w:b w:val="0"/>
          <w:bCs w:val="0"/>
          <w:color w:val="000000" w:themeColor="text1"/>
          <w:sz w:val="32"/>
          <w:szCs w:val="32"/>
          <w:highlight w:val="none"/>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rPr>
      </w:pPr>
      <w:r>
        <w:rPr>
          <w:rFonts w:hint="eastAsia" w:ascii="方正小标宋简体" w:hAnsi="方正小标宋简体" w:eastAsia="方正小标宋简体" w:cs="方正小标宋简体"/>
          <w:color w:val="000000" w:themeColor="text1"/>
          <w:sz w:val="44"/>
          <w:szCs w:val="44"/>
          <w:highlight w:val="none"/>
          <w:lang w:eastAsia="zh-CN"/>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rPr>
        <w:t>石龙街道办</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rPr>
      </w:pPr>
      <w:r>
        <w:rPr>
          <w:rFonts w:hint="eastAsia" w:ascii="方正小标宋简体" w:hAnsi="方正小标宋简体" w:eastAsia="方正小标宋简体" w:cs="方正小标宋简体"/>
          <w:color w:val="000000" w:themeColor="text1"/>
          <w:sz w:val="44"/>
          <w:szCs w:val="44"/>
          <w:highlight w:val="none"/>
        </w:rPr>
        <w:t>关于</w:t>
      </w:r>
      <w:r>
        <w:rPr>
          <w:rFonts w:hint="eastAsia" w:ascii="方正小标宋简体" w:hAnsi="方正小标宋简体" w:eastAsia="方正小标宋简体" w:cs="方正小标宋简体"/>
          <w:color w:val="000000" w:themeColor="text1"/>
          <w:sz w:val="44"/>
          <w:szCs w:val="44"/>
          <w:highlight w:val="none"/>
          <w:lang w:val="en-US" w:eastAsia="zh-CN"/>
        </w:rPr>
        <w:t>安全生产资金</w:t>
      </w:r>
      <w:r>
        <w:rPr>
          <w:rFonts w:hint="eastAsia" w:ascii="方正小标宋简体" w:hAnsi="方正小标宋简体" w:eastAsia="方正小标宋简体" w:cs="方正小标宋简体"/>
          <w:color w:val="000000" w:themeColor="text1"/>
          <w:sz w:val="44"/>
          <w:szCs w:val="44"/>
          <w:highlight w:val="none"/>
          <w:lang w:eastAsia="zh-CN"/>
        </w:rPr>
        <w:t>项目</w:t>
      </w:r>
      <w:r>
        <w:rPr>
          <w:rFonts w:hint="eastAsia" w:ascii="方正小标宋简体" w:hAnsi="方正小标宋简体" w:eastAsia="方正小标宋简体" w:cs="方正小标宋简体"/>
          <w:color w:val="000000" w:themeColor="text1"/>
          <w:sz w:val="44"/>
          <w:szCs w:val="44"/>
          <w:highlight w:val="none"/>
        </w:rPr>
        <w:t>支出绩效</w:t>
      </w:r>
      <w:r>
        <w:rPr>
          <w:rFonts w:hint="eastAsia" w:ascii="方正小标宋简体" w:hAnsi="方正小标宋简体" w:eastAsia="方正小标宋简体" w:cs="方正小标宋简体"/>
          <w:color w:val="000000" w:themeColor="text1"/>
          <w:sz w:val="44"/>
          <w:szCs w:val="44"/>
          <w:highlight w:val="none"/>
          <w:lang w:eastAsia="zh-CN"/>
        </w:rPr>
        <w:t>自</w:t>
      </w:r>
      <w:r>
        <w:rPr>
          <w:rFonts w:hint="eastAsia" w:ascii="方正小标宋简体" w:hAnsi="方正小标宋简体" w:eastAsia="方正小标宋简体" w:cs="方正小标宋简体"/>
          <w:color w:val="000000" w:themeColor="text1"/>
          <w:sz w:val="44"/>
          <w:szCs w:val="44"/>
          <w:highlight w:val="none"/>
        </w:rPr>
        <w:t>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rPr>
      </w:pPr>
      <w:r>
        <w:rPr>
          <w:rFonts w:hint="eastAsia" w:ascii="方正小标宋简体" w:hAnsi="方正小标宋简体" w:eastAsia="方正小标宋简体" w:cs="方正小标宋简体"/>
          <w:color w:val="000000" w:themeColor="text1"/>
          <w:sz w:val="44"/>
          <w:szCs w:val="44"/>
          <w:highlight w:val="none"/>
          <w:lang w:eastAsia="zh-CN"/>
        </w:rPr>
        <w:t>报</w:t>
      </w:r>
      <w:r>
        <w:rPr>
          <w:rFonts w:hint="eastAsia" w:ascii="方正小标宋简体" w:hAnsi="方正小标宋简体" w:eastAsia="方正小标宋简体" w:cs="方正小标宋简体"/>
          <w:color w:val="000000" w:themeColor="text1"/>
          <w:sz w:val="44"/>
          <w:szCs w:val="44"/>
          <w:highlight w:val="none"/>
          <w:lang w:val="en-US" w:eastAsia="zh-CN"/>
        </w:rPr>
        <w:t xml:space="preserve">       </w:t>
      </w:r>
      <w:r>
        <w:rPr>
          <w:rFonts w:hint="eastAsia" w:ascii="方正小标宋简体" w:hAnsi="方正小标宋简体" w:eastAsia="方正小标宋简体" w:cs="方正小标宋简体"/>
          <w:color w:val="000000" w:themeColor="text1"/>
          <w:sz w:val="44"/>
          <w:szCs w:val="44"/>
          <w:highlight w:val="none"/>
          <w:lang w:eastAsia="zh-CN"/>
        </w:rPr>
        <w:t>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rPr>
        <w:t>现将我街道安全生产项目支出绩效自评报告如下。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rPr>
      </w:pPr>
      <w:r>
        <w:rPr>
          <w:rFonts w:hint="eastAsia" w:ascii="黑体" w:hAnsi="黑体" w:eastAsia="黑体" w:cs="黑体"/>
          <w:color w:val="000000" w:themeColor="text1"/>
          <w:sz w:val="32"/>
          <w:szCs w:val="32"/>
          <w:highlight w:val="none"/>
          <w:lang w:val="en-US" w:eastAsia="zh-CN"/>
        </w:rPr>
        <w:t>一、</w:t>
      </w:r>
      <w:r>
        <w:rPr>
          <w:rFonts w:hint="eastAsia" w:ascii="黑体" w:hAnsi="黑体" w:eastAsia="黑体" w:cs="黑体"/>
          <w:color w:val="000000" w:themeColor="text1"/>
          <w:sz w:val="32"/>
          <w:szCs w:val="32"/>
          <w:highlight w:val="none"/>
          <w:lang w:val="zh-CN" w:eastAsia="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rPr>
      </w:pPr>
      <w:r>
        <w:rPr>
          <w:rFonts w:hint="eastAsia" w:ascii="仿宋_GB2312" w:hAnsi="仿宋_GB2312" w:eastAsia="仿宋_GB2312" w:cs="仿宋_GB2312"/>
          <w:color w:val="000000" w:themeColor="text1"/>
          <w:sz w:val="32"/>
          <w:szCs w:val="32"/>
          <w:highlight w:val="none"/>
        </w:rPr>
        <w:t>按照按照</w:t>
      </w:r>
      <w:r>
        <w:rPr>
          <w:rFonts w:hint="eastAsia" w:ascii="仿宋_GB2312" w:hAnsi="仿宋_GB2312" w:eastAsia="仿宋_GB2312" w:cs="仿宋_GB2312"/>
          <w:color w:val="000000" w:themeColor="text1"/>
          <w:sz w:val="32"/>
          <w:szCs w:val="32"/>
          <w:highlight w:val="none"/>
          <w:lang w:val="en-US" w:eastAsia="zh-CN"/>
        </w:rPr>
        <w:t>广开财预〔2021〕6号预算通知执行</w:t>
      </w:r>
      <w:r>
        <w:rPr>
          <w:rFonts w:hint="eastAsia" w:ascii="仿宋_GB2312" w:hAnsi="仿宋_GB2312" w:eastAsia="仿宋_GB2312" w:cs="仿宋_GB2312"/>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val="en-US" w:eastAsia="zh-CN"/>
        </w:rPr>
        <w:t>1、</w:t>
      </w:r>
      <w:r>
        <w:rPr>
          <w:rFonts w:hint="eastAsia" w:ascii="仿宋_GB2312" w:hAnsi="仿宋_GB2312" w:eastAsia="仿宋_GB2312" w:cs="仿宋_GB2312"/>
          <w:color w:val="000000" w:themeColor="text1"/>
          <w:sz w:val="32"/>
          <w:szCs w:val="32"/>
          <w:highlight w:val="none"/>
        </w:rPr>
        <w:t>主要是</w:t>
      </w:r>
      <w:r>
        <w:rPr>
          <w:rFonts w:hint="eastAsia" w:ascii="仿宋_GB2312" w:hAnsi="仿宋_GB2312" w:eastAsia="仿宋_GB2312" w:cs="仿宋_GB2312"/>
          <w:color w:val="000000" w:themeColor="text1"/>
          <w:sz w:val="32"/>
          <w:szCs w:val="32"/>
          <w:highlight w:val="none"/>
          <w:lang w:val="en-US" w:eastAsia="zh-CN"/>
        </w:rPr>
        <w:t>对辖区</w:t>
      </w:r>
      <w:r>
        <w:rPr>
          <w:rFonts w:hint="eastAsia" w:ascii="仿宋_GB2312" w:hAnsi="仿宋_GB2312" w:eastAsia="仿宋_GB2312" w:cs="仿宋_GB2312"/>
          <w:color w:val="000000" w:themeColor="text1"/>
          <w:sz w:val="32"/>
          <w:szCs w:val="32"/>
          <w:highlight w:val="none"/>
        </w:rPr>
        <w:t>安全</w:t>
      </w:r>
      <w:r>
        <w:rPr>
          <w:rFonts w:hint="eastAsia" w:ascii="仿宋_GB2312" w:hAnsi="仿宋_GB2312" w:eastAsia="仿宋_GB2312" w:cs="仿宋_GB2312"/>
          <w:color w:val="000000" w:themeColor="text1"/>
          <w:sz w:val="32"/>
          <w:szCs w:val="32"/>
          <w:highlight w:val="none"/>
          <w:lang w:val="en-US" w:eastAsia="zh-CN"/>
        </w:rPr>
        <w:t>生产监管</w:t>
      </w:r>
      <w:r>
        <w:rPr>
          <w:rFonts w:hint="eastAsia" w:ascii="仿宋_GB2312" w:hAnsi="仿宋_GB2312" w:eastAsia="仿宋_GB2312" w:cs="仿宋_GB2312"/>
          <w:color w:val="000000" w:themeColor="text1"/>
          <w:sz w:val="32"/>
          <w:szCs w:val="32"/>
          <w:highlight w:val="none"/>
        </w:rPr>
        <w:t>、安全</w:t>
      </w:r>
      <w:r>
        <w:rPr>
          <w:rFonts w:hint="eastAsia" w:ascii="仿宋_GB2312" w:hAnsi="仿宋_GB2312" w:eastAsia="仿宋_GB2312" w:cs="仿宋_GB2312"/>
          <w:color w:val="000000" w:themeColor="text1"/>
          <w:sz w:val="32"/>
          <w:szCs w:val="32"/>
          <w:highlight w:val="none"/>
          <w:lang w:val="en-US" w:eastAsia="zh-CN"/>
        </w:rPr>
        <w:t>生产宣传</w:t>
      </w:r>
      <w:r>
        <w:rPr>
          <w:rFonts w:hint="eastAsia" w:ascii="仿宋_GB2312" w:hAnsi="仿宋_GB2312" w:eastAsia="仿宋_GB2312" w:cs="仿宋_GB2312"/>
          <w:color w:val="000000" w:themeColor="text1"/>
          <w:sz w:val="32"/>
          <w:szCs w:val="32"/>
          <w:highlight w:val="none"/>
        </w:rPr>
        <w:t>等。提高</w:t>
      </w:r>
      <w:r>
        <w:rPr>
          <w:rFonts w:hint="eastAsia" w:ascii="仿宋_GB2312" w:hAnsi="仿宋_GB2312" w:eastAsia="仿宋_GB2312" w:cs="仿宋_GB2312"/>
          <w:color w:val="000000" w:themeColor="text1"/>
          <w:sz w:val="32"/>
          <w:szCs w:val="32"/>
          <w:highlight w:val="none"/>
          <w:lang w:val="en-US" w:eastAsia="zh-CN"/>
        </w:rPr>
        <w:t>企业、</w:t>
      </w:r>
      <w:r>
        <w:rPr>
          <w:rFonts w:hint="eastAsia" w:ascii="仿宋_GB2312" w:hAnsi="仿宋_GB2312" w:eastAsia="仿宋_GB2312" w:cs="仿宋_GB2312"/>
          <w:color w:val="000000" w:themeColor="text1"/>
          <w:sz w:val="32"/>
          <w:szCs w:val="32"/>
          <w:highlight w:val="none"/>
        </w:rPr>
        <w:t>居民（村民）安全防范意识，经常开展宣传教育与培训活动，营造安全文化氛围。宣传教育与培训活动应针对不同层次人群的安全意识与能力要求制定相应的方案，以提高</w:t>
      </w:r>
      <w:r>
        <w:rPr>
          <w:rFonts w:hint="eastAsia" w:ascii="仿宋_GB2312" w:hAnsi="仿宋_GB2312" w:eastAsia="仿宋_GB2312" w:cs="仿宋_GB2312"/>
          <w:color w:val="000000" w:themeColor="text1"/>
          <w:sz w:val="32"/>
          <w:szCs w:val="32"/>
          <w:highlight w:val="none"/>
          <w:lang w:val="en-US" w:eastAsia="zh-CN"/>
        </w:rPr>
        <w:t>辖区企业及居民</w:t>
      </w:r>
      <w:r>
        <w:rPr>
          <w:rFonts w:hint="eastAsia" w:ascii="仿宋_GB2312" w:hAnsi="仿宋_GB2312" w:eastAsia="仿宋_GB2312" w:cs="仿宋_GB2312"/>
          <w:color w:val="000000" w:themeColor="text1"/>
          <w:sz w:val="32"/>
          <w:szCs w:val="32"/>
          <w:highlight w:val="none"/>
        </w:rPr>
        <w:t>安全意识和防范事故与伤害的能力。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2、辖区全年安全检查10次，开展入企业、入户安全宣传10次。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3、通过对安全隐患排查、整改安全隐患，全年无重大安全事故发生。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（三）项目资金申报相符性。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zh-CN" w:eastAsia="zh-CN"/>
        </w:rPr>
        <w:t>项目申报内容均为安全</w:t>
      </w:r>
      <w:r>
        <w:rPr>
          <w:rFonts w:hint="eastAsia" w:ascii="仿宋_GB2312" w:hAnsi="仿宋_GB2312" w:eastAsia="仿宋_GB2312" w:cs="仿宋_GB2312"/>
          <w:color w:val="000000" w:themeColor="text1"/>
          <w:sz w:val="32"/>
          <w:szCs w:val="32"/>
          <w:highlight w:val="none"/>
          <w:lang w:val="en-US" w:eastAsia="zh-CN"/>
        </w:rPr>
        <w:t>监管</w:t>
      </w:r>
      <w:r>
        <w:rPr>
          <w:rFonts w:hint="eastAsia" w:ascii="仿宋_GB2312" w:hAnsi="仿宋_GB2312" w:eastAsia="仿宋_GB2312" w:cs="仿宋_GB2312"/>
          <w:color w:val="000000" w:themeColor="text1"/>
          <w:sz w:val="32"/>
          <w:szCs w:val="32"/>
          <w:highlight w:val="none"/>
          <w:lang w:val="zh-CN" w:eastAsia="zh-CN"/>
        </w:rPr>
        <w:t>方案相关内容，与具体实施内容相符、申报目标合理可行。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rPr>
      </w:pPr>
      <w:r>
        <w:rPr>
          <w:rFonts w:hint="eastAsia" w:ascii="黑体" w:hAnsi="黑体" w:eastAsia="黑体" w:cs="黑体"/>
          <w:color w:val="000000" w:themeColor="text1"/>
          <w:sz w:val="32"/>
          <w:szCs w:val="32"/>
          <w:highlight w:val="none"/>
          <w:lang w:val="en-US" w:eastAsia="zh-CN"/>
        </w:rPr>
        <w:t xml:space="preserve"> </w:t>
      </w:r>
      <w:r>
        <w:rPr>
          <w:rFonts w:hint="eastAsia" w:ascii="黑体" w:hAnsi="黑体" w:eastAsia="黑体" w:cs="黑体"/>
          <w:color w:val="000000" w:themeColor="text1"/>
          <w:sz w:val="32"/>
          <w:szCs w:val="32"/>
          <w:highlight w:val="none"/>
          <w:lang w:eastAsia="zh-CN"/>
        </w:rPr>
        <w:t>二、项目实施及管理情况</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rPr>
        <w:t>（一）项目资金到位情况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资金到位</w:t>
      </w:r>
      <w:r>
        <w:rPr>
          <w:rFonts w:hint="eastAsia" w:ascii="仿宋_GB2312" w:hAnsi="仿宋_GB2312" w:eastAsia="仿宋_GB2312" w:cs="仿宋_GB2312"/>
          <w:color w:val="000000" w:themeColor="text1"/>
          <w:sz w:val="32"/>
          <w:szCs w:val="32"/>
          <w:highlight w:val="none"/>
          <w:lang w:val="en-US" w:eastAsia="zh-CN"/>
        </w:rPr>
        <w:t>2万元。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en-US" w:eastAsia="zh-CN"/>
        </w:rPr>
        <w:t>（二）资金使用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合计使用2万元，其中宣传业务费发生2万元。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（三）项目财务管理情况。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rPr>
      </w:pPr>
      <w:r>
        <w:rPr>
          <w:rFonts w:hint="eastAsia" w:ascii="仿宋_GB2312" w:hAnsi="仿宋_GB2312" w:eastAsia="仿宋_GB2312" w:cs="仿宋_GB2312"/>
          <w:color w:val="000000" w:themeColor="text1"/>
          <w:sz w:val="32"/>
          <w:szCs w:val="32"/>
          <w:highlight w:val="none"/>
          <w:lang w:val="zh-CN" w:eastAsia="zh-CN"/>
        </w:rPr>
        <w:t>我单位严格执行单位财务管理制度，报账履行逐级审批手续，附有实施方案、合同、发票、实物照片、现场照片、等。手续齐全，真实有效。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rPr>
      </w:pPr>
      <w:r>
        <w:rPr>
          <w:rFonts w:hint="eastAsia" w:ascii="楷体_GB2312" w:hAnsi="楷体_GB2312" w:eastAsia="楷体_GB2312" w:cs="楷体_GB2312"/>
          <w:b w:val="0"/>
          <w:bCs w:val="0"/>
          <w:color w:val="000000" w:themeColor="text1"/>
          <w:sz w:val="32"/>
          <w:szCs w:val="32"/>
          <w:highlight w:val="none"/>
          <w:lang w:val="zh-CN" w:eastAsia="zh-CN"/>
        </w:rPr>
        <w:t>（四）项目组织实施情况。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rPr>
      </w:pPr>
      <w:r>
        <w:rPr>
          <w:rFonts w:hint="eastAsia" w:ascii="仿宋_GB2312" w:hAnsi="仿宋_GB2312" w:eastAsia="仿宋_GB2312" w:cs="仿宋_GB2312"/>
          <w:color w:val="000000" w:themeColor="text1"/>
          <w:sz w:val="32"/>
          <w:szCs w:val="32"/>
          <w:highlight w:val="none"/>
          <w:lang w:val="en-US" w:eastAsia="zh-CN"/>
        </w:rPr>
        <w:t>宣传由经办部门按照经批准的实施方案实施，</w:t>
      </w:r>
      <w:r>
        <w:rPr>
          <w:rFonts w:hint="eastAsia" w:ascii="仿宋_GB2312" w:hAnsi="仿宋_GB2312" w:eastAsia="仿宋_GB2312" w:cs="仿宋_GB2312"/>
          <w:color w:val="000000" w:themeColor="text1"/>
          <w:sz w:val="32"/>
          <w:szCs w:val="32"/>
          <w:highlight w:val="none"/>
        </w:rPr>
        <w:t>主要是制作安全手册、宣传栏、告示牌等</w:t>
      </w:r>
      <w:r>
        <w:rPr>
          <w:rFonts w:hint="eastAsia" w:ascii="仿宋_GB2312" w:hAnsi="仿宋_GB2312" w:eastAsia="仿宋_GB2312" w:cs="仿宋_GB2312"/>
          <w:color w:val="000000" w:themeColor="text1"/>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三、项目完成情况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eastAsia="zh-CN"/>
        </w:rPr>
        <w:t>完成了宣传资料的制作、</w:t>
      </w:r>
      <w:r>
        <w:rPr>
          <w:rFonts w:hint="eastAsia" w:ascii="仿宋_GB2312" w:hAnsi="仿宋_GB2312" w:eastAsia="仿宋_GB2312" w:cs="仿宋_GB2312"/>
          <w:color w:val="000000" w:themeColor="text1"/>
          <w:sz w:val="32"/>
          <w:szCs w:val="32"/>
          <w:highlight w:val="none"/>
          <w:lang w:val="en-US" w:eastAsia="zh-CN"/>
        </w:rPr>
        <w:t>宣传10余次，全年隐患排查10个，整改10个，完成100%，全年无安全事故发生。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四、项目效益情况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石龙街道辖区安全生产环境不断改善，各类事故指数不断下降，交通安全事故下降</w:t>
      </w:r>
      <w:r>
        <w:rPr>
          <w:rFonts w:hint="eastAsia" w:ascii="仿宋_GB2312" w:hAnsi="仿宋_GB2312" w:eastAsia="仿宋_GB2312" w:cs="仿宋_GB2312"/>
          <w:color w:val="000000" w:themeColor="text1"/>
          <w:sz w:val="32"/>
          <w:szCs w:val="32"/>
          <w:highlight w:val="none"/>
          <w:lang w:val="en-US" w:eastAsia="zh-CN"/>
        </w:rPr>
        <w:t>50</w:t>
      </w:r>
      <w:r>
        <w:rPr>
          <w:rFonts w:hint="eastAsia" w:ascii="仿宋_GB2312" w:hAnsi="仿宋_GB2312" w:eastAsia="仿宋_GB2312" w:cs="仿宋_GB2312"/>
          <w:color w:val="000000" w:themeColor="text1"/>
          <w:sz w:val="32"/>
          <w:szCs w:val="32"/>
          <w:highlight w:val="none"/>
        </w:rPr>
        <w:t>%、消防事故下降</w:t>
      </w:r>
      <w:r>
        <w:rPr>
          <w:rFonts w:hint="eastAsia" w:ascii="仿宋_GB2312" w:hAnsi="仿宋_GB2312" w:eastAsia="仿宋_GB2312" w:cs="仿宋_GB2312"/>
          <w:color w:val="000000" w:themeColor="text1"/>
          <w:sz w:val="32"/>
          <w:szCs w:val="32"/>
          <w:highlight w:val="none"/>
          <w:lang w:val="en-US" w:eastAsia="zh-CN"/>
        </w:rPr>
        <w:t>80</w:t>
      </w:r>
      <w:r>
        <w:rPr>
          <w:rFonts w:hint="eastAsia" w:ascii="仿宋_GB2312" w:hAnsi="仿宋_GB2312" w:eastAsia="仿宋_GB2312" w:cs="仿宋_GB2312"/>
          <w:color w:val="000000" w:themeColor="text1"/>
          <w:sz w:val="32"/>
          <w:szCs w:val="32"/>
          <w:highlight w:val="none"/>
        </w:rPr>
        <w:t>%、社会治安案件下降56%、生产安全事故</w:t>
      </w:r>
      <w:r>
        <w:rPr>
          <w:rFonts w:hint="eastAsia" w:ascii="仿宋_GB2312" w:hAnsi="仿宋_GB2312" w:eastAsia="仿宋_GB2312" w:cs="仿宋_GB2312"/>
          <w:color w:val="000000" w:themeColor="text1"/>
          <w:sz w:val="32"/>
          <w:szCs w:val="32"/>
          <w:highlight w:val="none"/>
          <w:lang w:val="en-US" w:eastAsia="zh-CN"/>
        </w:rPr>
        <w:t>为0</w:t>
      </w:r>
      <w:r>
        <w:rPr>
          <w:rFonts w:hint="eastAsia" w:ascii="仿宋_GB2312" w:hAnsi="仿宋_GB2312" w:eastAsia="仿宋_GB2312" w:cs="仿宋_GB2312"/>
          <w:color w:val="000000" w:themeColor="text1"/>
          <w:sz w:val="32"/>
          <w:szCs w:val="32"/>
          <w:highlight w:val="none"/>
        </w:rPr>
        <w:t>，努力营造了石龙辖区安居乐业的良好安全环境。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rPr>
      </w:pPr>
      <w:r>
        <w:rPr>
          <w:rFonts w:hint="eastAsia" w:ascii="黑体" w:hAnsi="黑体" w:eastAsia="黑体" w:cs="黑体"/>
          <w:color w:val="000000" w:themeColor="text1"/>
          <w:sz w:val="32"/>
          <w:szCs w:val="32"/>
          <w:highlight w:val="none"/>
          <w:lang w:val="en-US" w:eastAsia="zh-CN"/>
        </w:rPr>
        <w:t>五、结论及建议</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（一）评价结论。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rPr>
      </w:pPr>
      <w:r>
        <w:rPr>
          <w:rFonts w:hint="eastAsia" w:ascii="仿宋_GB2312" w:hAnsi="仿宋_GB2312" w:eastAsia="仿宋_GB2312" w:cs="仿宋_GB2312"/>
          <w:color w:val="000000" w:themeColor="text1"/>
          <w:sz w:val="32"/>
          <w:szCs w:val="32"/>
          <w:highlight w:val="none"/>
          <w:lang w:val="zh-CN" w:eastAsia="zh-CN"/>
        </w:rPr>
        <w:t>项目完成了预期计划，实现了预期目标。</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en-US" w:eastAsia="zh-CN"/>
        </w:rPr>
      </w:pPr>
      <w:r>
        <w:rPr>
          <w:rFonts w:hint="eastAsia" w:ascii="楷体_GB2312" w:hAnsi="楷体_GB2312" w:eastAsia="楷体_GB2312" w:cs="楷体_GB2312"/>
          <w:b/>
          <w:bCs/>
          <w:color w:val="000000" w:themeColor="text1"/>
          <w:sz w:val="32"/>
          <w:szCs w:val="32"/>
          <w:highlight w:val="none"/>
          <w:lang w:val="zh-CN" w:eastAsia="zh-CN"/>
        </w:rPr>
        <w:t>（二）存在的问题</w:t>
      </w:r>
      <w:r>
        <w:rPr>
          <w:rFonts w:hint="eastAsia" w:ascii="楷体_GB2312" w:hAnsi="楷体_GB2312" w:eastAsia="楷体_GB2312" w:cs="楷体_GB2312"/>
          <w:b/>
          <w:bCs/>
          <w:color w:val="000000" w:themeColor="text1"/>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_GB2312" w:eastAsia="楷体_GB2312" w:cs="楷体_GB2312"/>
          <w:b/>
          <w:bCs/>
          <w:color w:val="000000" w:themeColor="text1"/>
          <w:sz w:val="32"/>
          <w:szCs w:val="32"/>
          <w:highlight w:val="none"/>
          <w:lang w:val="zh-CN" w:eastAsia="zh-CN"/>
        </w:rPr>
      </w:pPr>
      <w:r>
        <w:rPr>
          <w:rFonts w:hint="eastAsia" w:ascii="楷体_GB2312" w:hAnsi="楷体_GB2312" w:eastAsia="楷体_GB2312" w:cs="楷体_GB2312"/>
          <w:b/>
          <w:bCs/>
          <w:color w:val="000000" w:themeColor="text1"/>
          <w:sz w:val="32"/>
          <w:szCs w:val="32"/>
          <w:highlight w:val="none"/>
          <w:lang w:val="zh-CN" w:eastAsia="zh-CN"/>
        </w:rPr>
        <w:t>（三）建议。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做好安全宣传教育进企业、进校园、进机关、进社区、进农村、进家庭、进公共场所等活动，多渠道开展安全知识和日常安全常识的宣传，提高社区人员安全意识。最大限度地预防和降低伤害事故， 改善</w:t>
      </w:r>
      <w:r>
        <w:rPr>
          <w:rFonts w:hint="eastAsia" w:ascii="仿宋_GB2312" w:hAnsi="仿宋_GB2312" w:eastAsia="仿宋_GB2312" w:cs="仿宋_GB2312"/>
          <w:color w:val="000000" w:themeColor="text1"/>
          <w:sz w:val="32"/>
          <w:szCs w:val="32"/>
          <w:highlight w:val="none"/>
          <w:lang w:val="en-US" w:eastAsia="zh-CN"/>
        </w:rPr>
        <w:t>企业</w:t>
      </w:r>
      <w:r>
        <w:rPr>
          <w:rFonts w:hint="eastAsia" w:ascii="仿宋_GB2312" w:hAnsi="仿宋_GB2312" w:eastAsia="仿宋_GB2312" w:cs="仿宋_GB2312"/>
          <w:color w:val="000000" w:themeColor="text1"/>
          <w:sz w:val="32"/>
          <w:szCs w:val="32"/>
          <w:highlight w:val="none"/>
        </w:rPr>
        <w:t>安全状况，提高</w:t>
      </w:r>
      <w:r>
        <w:rPr>
          <w:rFonts w:hint="eastAsia" w:ascii="仿宋_GB2312" w:hAnsi="仿宋_GB2312" w:eastAsia="仿宋_GB2312" w:cs="仿宋_GB2312"/>
          <w:color w:val="000000" w:themeColor="text1"/>
          <w:sz w:val="32"/>
          <w:szCs w:val="32"/>
          <w:highlight w:val="none"/>
          <w:lang w:val="en-US" w:eastAsia="zh-CN"/>
        </w:rPr>
        <w:t>辖区</w:t>
      </w:r>
      <w:r>
        <w:rPr>
          <w:rFonts w:hint="eastAsia" w:ascii="仿宋_GB2312" w:hAnsi="仿宋_GB2312" w:eastAsia="仿宋_GB2312" w:cs="仿宋_GB2312"/>
          <w:color w:val="000000" w:themeColor="text1"/>
          <w:sz w:val="32"/>
          <w:szCs w:val="32"/>
          <w:highlight w:val="none"/>
        </w:rPr>
        <w:t>安全保障，构建平安和谐社会。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themeColor="text1"/>
          <w:sz w:val="32"/>
          <w:szCs w:val="32"/>
          <w:highlight w:val="none"/>
          <w:lang w:val="en-US" w:eastAsia="zh-CN"/>
        </w:rPr>
      </w:pPr>
    </w:p>
    <w:p>
      <w:pPr>
        <w:pStyle w:val="2"/>
        <w:rPr>
          <w:rFonts w:hint="eastAsia"/>
          <w:color w:val="000000" w:themeColor="text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 xml:space="preserve">          广元经济技术开发区石龙街道办事处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2022年4月20日</w:t>
      </w:r>
    </w:p>
    <w:p>
      <w:pPr>
        <w:pStyle w:val="2"/>
        <w:rPr>
          <w:rFonts w:hint="eastAsia"/>
          <w:lang w:val="en-US" w:eastAsia="zh-CN"/>
        </w:rPr>
      </w:pPr>
      <w:r>
        <w:rPr>
          <w:rFonts w:hint="eastAsia" w:ascii="仿宋_GB2312" w:hAnsi="仿宋_GB2312" w:eastAsia="仿宋_GB2312" w:cs="仿宋_GB2312"/>
          <w:color w:val="000000" w:themeColor="text1"/>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rPr>
        <w:t>项目支出绩效目标自评表</w:t>
      </w:r>
    </w:p>
    <w:tbl>
      <w:tblPr>
        <w:tblStyle w:val="15"/>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项目名称</w:t>
            </w:r>
          </w:p>
        </w:tc>
        <w:tc>
          <w:tcPr>
            <w:tcW w:w="2240"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安全生产资金</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项目属性</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 xml:space="preserve">□新增项目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预算单位</w:t>
            </w:r>
          </w:p>
        </w:tc>
        <w:tc>
          <w:tcPr>
            <w:tcW w:w="224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广元经济技术开发区石龙街道办事处</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项目口径</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□经常性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□阶段性</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240" w:type="dxa"/>
            <w:gridSpan w:val="2"/>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项目起止时间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执行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（元）</w:t>
            </w: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预算金额（万元）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实际执行（万元）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其中：一般公共预算（万元）</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其中：一般公共预算（万元）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政府性基金预算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政府性基金预算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国有资本经营预算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国有资本经营预算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12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社会保险基金预算</w:t>
            </w:r>
          </w:p>
        </w:tc>
        <w:tc>
          <w:tcPr>
            <w:tcW w:w="1352"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社会保险基金预算</w:t>
            </w:r>
          </w:p>
        </w:tc>
        <w:tc>
          <w:tcPr>
            <w:tcW w:w="223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情况</w:t>
            </w: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预期目标</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347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保障辖区企业安全生产</w:t>
            </w:r>
          </w:p>
        </w:tc>
        <w:tc>
          <w:tcPr>
            <w:tcW w:w="4273"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无安全事故发生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年度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情况</w:t>
            </w:r>
          </w:p>
        </w:tc>
        <w:tc>
          <w:tcPr>
            <w:tcW w:w="1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一级指标</w:t>
            </w: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三级指标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预期指标值（包含数字及文字描述）</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项目完成指标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指标1：安全检查</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≥10次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12次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指标2：安全宣传</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sz w:val="24"/>
                <w:szCs w:val="24"/>
                <w:highlight w:val="none"/>
                <w:u w:val="none"/>
              </w:rPr>
              <w:t>≥12次</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70本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质量指标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指标1：宣传覆盖率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≥90%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 xml:space="preserve"> 提高辖区企业安全生产意识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指标2：检查覆盖率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符合专业规范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符合专业规范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时效指标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指标1：完成时效</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指标1：宣传业务费</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2万元</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2万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restart"/>
            <w:tcBorders>
              <w:tl2br w:val="nil"/>
              <w:tr2bl w:val="nil"/>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项目效果指标</w:t>
            </w:r>
          </w:p>
        </w:tc>
        <w:tc>
          <w:tcPr>
            <w:tcW w:w="8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社会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w:t>
            </w: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指标1：隐患排查率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隐患排查单位</w:t>
            </w:r>
            <w:r>
              <w:rPr>
                <w:rFonts w:hint="eastAsia" w:ascii="宋体" w:hAnsi="宋体" w:eastAsia="宋体" w:cs="宋体"/>
                <w:i w:val="0"/>
                <w:iCs w:val="0"/>
                <w:color w:val="000000" w:themeColor="text1"/>
                <w:kern w:val="0"/>
                <w:sz w:val="24"/>
                <w:szCs w:val="24"/>
                <w:highlight w:val="none"/>
                <w:u w:val="none"/>
                <w:lang w:val="en-US" w:eastAsia="zh-CN" w:bidi="ar"/>
              </w:rPr>
              <w:t>100%</w:t>
            </w:r>
            <w:r>
              <w:rPr>
                <w:rFonts w:hint="eastAsia" w:ascii="宋体" w:hAnsi="宋体" w:cs="宋体"/>
                <w:i w:val="0"/>
                <w:iCs w:val="0"/>
                <w:color w:val="000000" w:themeColor="text1"/>
                <w:kern w:val="0"/>
                <w:sz w:val="24"/>
                <w:szCs w:val="24"/>
                <w:highlight w:val="none"/>
                <w:u w:val="none"/>
                <w:lang w:val="en-US" w:eastAsia="zh-CN" w:bidi="ar"/>
              </w:rPr>
              <w:t>覆盖</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隐患排查单位</w:t>
            </w:r>
            <w:r>
              <w:rPr>
                <w:rFonts w:hint="eastAsia" w:ascii="宋体" w:hAnsi="宋体" w:eastAsia="宋体" w:cs="宋体"/>
                <w:i w:val="0"/>
                <w:iCs w:val="0"/>
                <w:color w:val="000000" w:themeColor="text1"/>
                <w:kern w:val="0"/>
                <w:sz w:val="24"/>
                <w:szCs w:val="24"/>
                <w:highlight w:val="none"/>
                <w:u w:val="none"/>
                <w:lang w:val="en-US" w:eastAsia="zh-CN" w:bidi="ar"/>
              </w:rPr>
              <w:t>100%</w:t>
            </w:r>
            <w:r>
              <w:rPr>
                <w:rFonts w:hint="eastAsia" w:ascii="宋体" w:hAnsi="宋体" w:cs="宋体"/>
                <w:i w:val="0"/>
                <w:iCs w:val="0"/>
                <w:color w:val="000000" w:themeColor="text1"/>
                <w:kern w:val="0"/>
                <w:sz w:val="24"/>
                <w:szCs w:val="24"/>
                <w:highlight w:val="none"/>
                <w:u w:val="none"/>
                <w:lang w:val="en-US" w:eastAsia="zh-CN" w:bidi="ar"/>
              </w:rPr>
              <w:t>覆盖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指标2：问题整改落实率</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问题整改率</w:t>
            </w:r>
            <w:r>
              <w:rPr>
                <w:rFonts w:hint="eastAsia" w:ascii="宋体" w:hAnsi="宋体" w:eastAsia="宋体" w:cs="宋体"/>
                <w:i w:val="0"/>
                <w:iCs w:val="0"/>
                <w:color w:val="000000" w:themeColor="text1"/>
                <w:kern w:val="0"/>
                <w:sz w:val="24"/>
                <w:szCs w:val="24"/>
                <w:highlight w:val="none"/>
                <w:u w:val="none"/>
                <w:lang w:val="en-US" w:eastAsia="zh-CN" w:bidi="ar"/>
              </w:rPr>
              <w:t>100%</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cs="宋体"/>
                <w:i w:val="0"/>
                <w:iCs w:val="0"/>
                <w:color w:val="000000" w:themeColor="text1"/>
                <w:kern w:val="0"/>
                <w:sz w:val="24"/>
                <w:szCs w:val="24"/>
                <w:highlight w:val="none"/>
                <w:u w:val="none"/>
                <w:lang w:val="en-US" w:eastAsia="zh-CN" w:bidi="ar"/>
              </w:rPr>
              <w:t>问题整改率</w:t>
            </w:r>
            <w:r>
              <w:rPr>
                <w:rFonts w:hint="eastAsia" w:ascii="宋体" w:hAnsi="宋体" w:eastAsia="宋体" w:cs="宋体"/>
                <w:i w:val="0"/>
                <w:iCs w:val="0"/>
                <w:color w:val="000000" w:themeColor="text1"/>
                <w:kern w:val="0"/>
                <w:sz w:val="24"/>
                <w:szCs w:val="24"/>
                <w:highlight w:val="none"/>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238" w:type="dxa"/>
            <w:vMerge w:val="continue"/>
            <w:tcBorders>
              <w:tl2br w:val="nil"/>
              <w:tr2bl w:val="nil"/>
            </w:tcBorders>
            <w:shd w:val="clear" w:color="auto" w:fill="auto"/>
            <w:textDirection w:val="tbRlV"/>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888" w:type="dxa"/>
            <w:vMerge w:val="continue"/>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rPr>
            </w:pPr>
          </w:p>
        </w:tc>
        <w:tc>
          <w:tcPr>
            <w:tcW w:w="13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指标3：生产安全</w:t>
            </w:r>
          </w:p>
        </w:tc>
        <w:tc>
          <w:tcPr>
            <w:tcW w:w="203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rPr>
            </w:pPr>
            <w:r>
              <w:rPr>
                <w:rFonts w:hint="eastAsia" w:ascii="宋体" w:hAnsi="宋体" w:eastAsia="宋体" w:cs="宋体"/>
                <w:i w:val="0"/>
                <w:iCs w:val="0"/>
                <w:color w:val="000000" w:themeColor="text1"/>
                <w:kern w:val="0"/>
                <w:sz w:val="24"/>
                <w:szCs w:val="24"/>
                <w:highlight w:val="none"/>
                <w:u w:val="none"/>
                <w:lang w:val="en-US" w:eastAsia="zh-CN" w:bidi="ar"/>
              </w:rPr>
              <w:t>无重大安全事故</w:t>
            </w:r>
          </w:p>
        </w:tc>
        <w:tc>
          <w:tcPr>
            <w:tcW w:w="22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rPr>
            </w:pPr>
            <w:r>
              <w:rPr>
                <w:rFonts w:hint="eastAsia" w:ascii="宋体" w:hAnsi="宋体" w:eastAsia="宋体" w:cs="宋体"/>
                <w:i w:val="0"/>
                <w:iCs w:val="0"/>
                <w:color w:val="000000" w:themeColor="text1"/>
                <w:kern w:val="0"/>
                <w:sz w:val="24"/>
                <w:szCs w:val="24"/>
                <w:highlight w:val="none"/>
                <w:u w:val="none"/>
                <w:lang w:val="en-US" w:eastAsia="zh-CN" w:bidi="ar"/>
              </w:rPr>
              <w:t>无重大安全事故</w:t>
            </w:r>
          </w:p>
        </w:tc>
      </w:tr>
    </w:tbl>
    <w:p>
      <w:pPr>
        <w:pStyle w:val="3"/>
        <w:spacing w:line="576" w:lineRule="exact"/>
        <w:rPr>
          <w:rFonts w:hint="eastAsia" w:eastAsia="宋体"/>
          <w:lang w:val="en-US" w:eastAsia="zh-CN"/>
        </w:rPr>
      </w:pPr>
    </w:p>
    <w:p>
      <w:pPr>
        <w:pStyle w:val="3"/>
        <w:spacing w:line="576" w:lineRule="exact"/>
      </w:pPr>
    </w:p>
    <w:p>
      <w:pPr>
        <w:widowControl/>
        <w:spacing w:line="576" w:lineRule="exact"/>
        <w:jc w:val="center"/>
        <w:rPr>
          <w:rStyle w:val="27"/>
          <w:rFonts w:ascii="黑体" w:hAnsi="黑体" w:eastAsia="黑体"/>
          <w:b w:val="0"/>
        </w:rPr>
      </w:pPr>
      <w:r>
        <w:rPr>
          <w:rStyle w:val="27"/>
          <w:rFonts w:hint="eastAsia" w:ascii="黑体" w:hAnsi="黑体" w:eastAsia="黑体"/>
          <w:b w:val="0"/>
        </w:rPr>
        <w:t>第</w:t>
      </w:r>
      <w:r>
        <w:rPr>
          <w:rStyle w:val="27"/>
          <w:rFonts w:hint="eastAsia" w:ascii="黑体" w:hAnsi="黑体" w:eastAsia="黑体"/>
          <w:b w:val="0"/>
          <w:lang w:val="en-US" w:eastAsia="zh-CN"/>
        </w:rPr>
        <w:t>五</w:t>
      </w:r>
      <w:r>
        <w:rPr>
          <w:rStyle w:val="27"/>
          <w:rFonts w:hint="eastAsia" w:ascii="黑体" w:hAnsi="黑体" w:eastAsia="黑体"/>
          <w:b w:val="0"/>
        </w:rPr>
        <w:t>部分附表</w:t>
      </w:r>
      <w:bookmarkEnd w:id="57"/>
      <w:bookmarkEnd w:id="58"/>
      <w:bookmarkStart w:id="59" w:name="_Toc15396619"/>
    </w:p>
    <w:p>
      <w:pPr>
        <w:pStyle w:val="2"/>
        <w:spacing w:before="93" w:line="576" w:lineRule="exact"/>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一、收</w:t>
      </w:r>
      <w:r>
        <w:rPr>
          <w:rStyle w:val="28"/>
          <w:rFonts w:hint="eastAsia" w:ascii="黑体" w:hAnsi="黑体" w:eastAsia="黑体" w:cs="黑体"/>
          <w:b w:val="0"/>
          <w:bCs w:val="0"/>
        </w:rPr>
        <w:t>入支出决算总表</w:t>
      </w:r>
      <w:bookmarkEnd w:id="59"/>
    </w:p>
    <w:p>
      <w:pPr>
        <w:spacing w:line="576" w:lineRule="exact"/>
        <w:ind w:firstLine="640" w:firstLineChars="200"/>
        <w:rPr>
          <w:rFonts w:ascii="黑体" w:hAnsi="黑体" w:eastAsia="黑体" w:cs="黑体"/>
          <w:sz w:val="32"/>
          <w:szCs w:val="32"/>
        </w:rPr>
      </w:pPr>
      <w:bookmarkStart w:id="60" w:name="_Toc15396620"/>
      <w:r>
        <w:rPr>
          <w:rFonts w:hint="eastAsia" w:ascii="黑体" w:hAnsi="黑体" w:eastAsia="黑体" w:cs="黑体"/>
          <w:sz w:val="32"/>
          <w:szCs w:val="32"/>
        </w:rPr>
        <w:t>二、收</w:t>
      </w:r>
      <w:r>
        <w:rPr>
          <w:rStyle w:val="28"/>
          <w:rFonts w:hint="eastAsia" w:ascii="黑体" w:hAnsi="黑体" w:eastAsia="黑体" w:cs="黑体"/>
          <w:b w:val="0"/>
          <w:bCs w:val="0"/>
        </w:rPr>
        <w:t>入决算表</w:t>
      </w:r>
      <w:bookmarkEnd w:id="60"/>
    </w:p>
    <w:p>
      <w:pPr>
        <w:spacing w:line="576" w:lineRule="atLeast"/>
        <w:ind w:firstLine="640" w:firstLineChars="200"/>
        <w:rPr>
          <w:rFonts w:ascii="黑体" w:hAnsi="黑体" w:eastAsia="黑体" w:cs="黑体"/>
          <w:sz w:val="32"/>
          <w:szCs w:val="32"/>
        </w:rPr>
      </w:pPr>
      <w:bookmarkStart w:id="61" w:name="_Toc15396621"/>
      <w:r>
        <w:rPr>
          <w:rStyle w:val="28"/>
          <w:rFonts w:hint="eastAsia" w:ascii="黑体" w:hAnsi="黑体" w:eastAsia="黑体" w:cs="黑体"/>
          <w:b w:val="0"/>
          <w:bCs w:val="0"/>
        </w:rPr>
        <w:t>三、</w:t>
      </w:r>
      <w:r>
        <w:rPr>
          <w:rFonts w:hint="eastAsia" w:ascii="黑体" w:hAnsi="黑体" w:eastAsia="黑体" w:cs="黑体"/>
          <w:sz w:val="32"/>
          <w:szCs w:val="32"/>
        </w:rPr>
        <w:t>支</w:t>
      </w:r>
      <w:r>
        <w:rPr>
          <w:rStyle w:val="28"/>
          <w:rFonts w:hint="eastAsia" w:ascii="黑体" w:hAnsi="黑体" w:eastAsia="黑体" w:cs="黑体"/>
          <w:b w:val="0"/>
          <w:bCs w:val="0"/>
        </w:rPr>
        <w:t>出决算表</w:t>
      </w:r>
      <w:bookmarkEnd w:id="61"/>
    </w:p>
    <w:p>
      <w:pPr>
        <w:spacing w:line="576" w:lineRule="atLeast"/>
        <w:ind w:firstLine="640" w:firstLineChars="200"/>
        <w:rPr>
          <w:rFonts w:ascii="黑体" w:hAnsi="黑体" w:eastAsia="黑体" w:cs="黑体"/>
          <w:sz w:val="32"/>
          <w:szCs w:val="32"/>
        </w:rPr>
      </w:pPr>
      <w:bookmarkStart w:id="62" w:name="_Toc15396622"/>
      <w:r>
        <w:rPr>
          <w:rStyle w:val="28"/>
          <w:rFonts w:hint="eastAsia" w:ascii="黑体" w:hAnsi="黑体" w:eastAsia="黑体" w:cs="黑体"/>
          <w:b w:val="0"/>
          <w:bCs w:val="0"/>
        </w:rPr>
        <w:t>四、</w:t>
      </w:r>
      <w:r>
        <w:rPr>
          <w:rFonts w:hint="eastAsia" w:ascii="黑体" w:hAnsi="黑体" w:eastAsia="黑体" w:cs="黑体"/>
          <w:sz w:val="32"/>
          <w:szCs w:val="32"/>
        </w:rPr>
        <w:t>财</w:t>
      </w:r>
      <w:r>
        <w:rPr>
          <w:rStyle w:val="28"/>
          <w:rFonts w:hint="eastAsia" w:ascii="黑体" w:hAnsi="黑体" w:eastAsia="黑体" w:cs="黑体"/>
          <w:b w:val="0"/>
          <w:bCs w:val="0"/>
        </w:rPr>
        <w:t>政拨款收入支出决算总表</w:t>
      </w:r>
      <w:bookmarkEnd w:id="62"/>
    </w:p>
    <w:p>
      <w:pPr>
        <w:spacing w:line="576" w:lineRule="exact"/>
        <w:ind w:firstLine="640" w:firstLineChars="200"/>
        <w:rPr>
          <w:rStyle w:val="28"/>
          <w:rFonts w:ascii="黑体" w:hAnsi="黑体" w:eastAsia="黑体" w:cs="黑体"/>
          <w:b w:val="0"/>
          <w:bCs w:val="0"/>
        </w:rPr>
      </w:pPr>
      <w:bookmarkStart w:id="63" w:name="_Toc15396623"/>
      <w:r>
        <w:rPr>
          <w:rStyle w:val="28"/>
          <w:rFonts w:hint="eastAsia" w:ascii="黑体" w:hAnsi="黑体" w:eastAsia="黑体" w:cs="黑体"/>
          <w:b w:val="0"/>
          <w:bCs w:val="0"/>
        </w:rPr>
        <w:t>五、</w:t>
      </w:r>
      <w:r>
        <w:rPr>
          <w:rFonts w:hint="eastAsia" w:ascii="黑体" w:hAnsi="黑体" w:eastAsia="黑体" w:cs="黑体"/>
          <w:sz w:val="32"/>
          <w:szCs w:val="32"/>
        </w:rPr>
        <w:t>财</w:t>
      </w:r>
      <w:r>
        <w:rPr>
          <w:rStyle w:val="28"/>
          <w:rFonts w:hint="eastAsia" w:ascii="黑体" w:hAnsi="黑体" w:eastAsia="黑体" w:cs="黑体"/>
          <w:b w:val="0"/>
          <w:bCs w:val="0"/>
        </w:rPr>
        <w:t>政拨款支出决算明细表</w:t>
      </w:r>
      <w:bookmarkEnd w:id="63"/>
      <w:bookmarkStart w:id="64" w:name="_Toc15396624"/>
    </w:p>
    <w:p>
      <w:pPr>
        <w:spacing w:line="576" w:lineRule="exact"/>
        <w:ind w:firstLine="640" w:firstLineChars="200"/>
        <w:rPr>
          <w:rFonts w:ascii="黑体" w:hAnsi="黑体" w:eastAsia="黑体" w:cs="黑体"/>
          <w:sz w:val="32"/>
          <w:szCs w:val="32"/>
        </w:rPr>
      </w:pPr>
      <w:r>
        <w:rPr>
          <w:rStyle w:val="28"/>
          <w:rFonts w:hint="eastAsia" w:ascii="黑体" w:hAnsi="黑体" w:eastAsia="黑体" w:cs="黑体"/>
          <w:b w:val="0"/>
          <w:bCs w:val="0"/>
        </w:rPr>
        <w:t>六、</w:t>
      </w:r>
      <w:r>
        <w:rPr>
          <w:rFonts w:hint="eastAsia" w:ascii="黑体" w:hAnsi="黑体" w:eastAsia="黑体" w:cs="黑体"/>
          <w:sz w:val="32"/>
          <w:szCs w:val="32"/>
        </w:rPr>
        <w:t>一</w:t>
      </w:r>
      <w:r>
        <w:rPr>
          <w:rStyle w:val="28"/>
          <w:rFonts w:hint="eastAsia" w:ascii="黑体" w:hAnsi="黑体" w:eastAsia="黑体" w:cs="黑体"/>
          <w:b w:val="0"/>
          <w:bCs w:val="0"/>
        </w:rPr>
        <w:t>般公共预算财政拨款支出决算表</w:t>
      </w:r>
      <w:bookmarkEnd w:id="64"/>
    </w:p>
    <w:p>
      <w:pPr>
        <w:spacing w:line="576" w:lineRule="exact"/>
        <w:ind w:firstLine="640" w:firstLineChars="200"/>
        <w:rPr>
          <w:rFonts w:ascii="黑体" w:hAnsi="黑体" w:eastAsia="黑体" w:cs="黑体"/>
          <w:sz w:val="32"/>
          <w:szCs w:val="32"/>
        </w:rPr>
      </w:pPr>
      <w:bookmarkStart w:id="65" w:name="_Toc15396625"/>
      <w:r>
        <w:rPr>
          <w:rStyle w:val="28"/>
          <w:rFonts w:hint="eastAsia" w:ascii="黑体" w:hAnsi="黑体" w:eastAsia="黑体" w:cs="黑体"/>
          <w:b w:val="0"/>
          <w:bCs w:val="0"/>
        </w:rPr>
        <w:t>七、</w:t>
      </w:r>
      <w:r>
        <w:rPr>
          <w:rFonts w:hint="eastAsia" w:ascii="黑体" w:hAnsi="黑体" w:eastAsia="黑体" w:cs="黑体"/>
          <w:sz w:val="32"/>
          <w:szCs w:val="32"/>
        </w:rPr>
        <w:t>一</w:t>
      </w:r>
      <w:r>
        <w:rPr>
          <w:rStyle w:val="28"/>
          <w:rFonts w:hint="eastAsia" w:ascii="黑体" w:hAnsi="黑体" w:eastAsia="黑体" w:cs="黑体"/>
          <w:b w:val="0"/>
          <w:bCs w:val="0"/>
        </w:rPr>
        <w:t>般公共预算财政拨款支出决算明细表</w:t>
      </w:r>
      <w:bookmarkEnd w:id="65"/>
    </w:p>
    <w:p>
      <w:pPr>
        <w:spacing w:line="576" w:lineRule="exact"/>
        <w:ind w:firstLine="640" w:firstLineChars="200"/>
        <w:rPr>
          <w:rFonts w:ascii="黑体" w:hAnsi="黑体" w:eastAsia="黑体" w:cs="黑体"/>
          <w:sz w:val="32"/>
          <w:szCs w:val="32"/>
        </w:rPr>
      </w:pPr>
      <w:bookmarkStart w:id="66" w:name="_Toc15396626"/>
      <w:r>
        <w:rPr>
          <w:rStyle w:val="28"/>
          <w:rFonts w:hint="eastAsia" w:ascii="黑体" w:hAnsi="黑体" w:eastAsia="黑体" w:cs="黑体"/>
          <w:b w:val="0"/>
          <w:bCs w:val="0"/>
        </w:rPr>
        <w:t>八、</w:t>
      </w:r>
      <w:r>
        <w:rPr>
          <w:rFonts w:hint="eastAsia" w:ascii="黑体" w:hAnsi="黑体" w:eastAsia="黑体" w:cs="黑体"/>
          <w:sz w:val="32"/>
          <w:szCs w:val="32"/>
        </w:rPr>
        <w:t>一</w:t>
      </w:r>
      <w:r>
        <w:rPr>
          <w:rStyle w:val="28"/>
          <w:rFonts w:hint="eastAsia" w:ascii="黑体" w:hAnsi="黑体" w:eastAsia="黑体" w:cs="黑体"/>
          <w:b w:val="0"/>
          <w:bCs w:val="0"/>
        </w:rPr>
        <w:t>般公共预算财政拨款基本支出决算表</w:t>
      </w:r>
      <w:bookmarkEnd w:id="66"/>
    </w:p>
    <w:p>
      <w:pPr>
        <w:spacing w:line="576" w:lineRule="exact"/>
        <w:ind w:firstLine="640" w:firstLineChars="200"/>
        <w:rPr>
          <w:rStyle w:val="28"/>
          <w:rFonts w:ascii="黑体" w:hAnsi="黑体" w:eastAsia="黑体" w:cs="黑体"/>
          <w:b w:val="0"/>
          <w:bCs w:val="0"/>
        </w:rPr>
      </w:pPr>
      <w:bookmarkStart w:id="67" w:name="_Toc15396627"/>
      <w:r>
        <w:rPr>
          <w:rStyle w:val="28"/>
          <w:rFonts w:hint="eastAsia" w:ascii="黑体" w:hAnsi="黑体" w:eastAsia="黑体" w:cs="黑体"/>
          <w:b w:val="0"/>
          <w:bCs w:val="0"/>
        </w:rPr>
        <w:t>九、一般公共预算财政拨款项目支出决算表</w:t>
      </w:r>
      <w:bookmarkEnd w:id="67"/>
    </w:p>
    <w:p>
      <w:pPr>
        <w:spacing w:line="576" w:lineRule="exact"/>
        <w:ind w:firstLine="640" w:firstLineChars="200"/>
        <w:rPr>
          <w:rStyle w:val="28"/>
          <w:rFonts w:ascii="黑体" w:hAnsi="黑体" w:eastAsia="黑体" w:cs="黑体"/>
          <w:b w:val="0"/>
          <w:bCs w:val="0"/>
        </w:rPr>
      </w:pPr>
      <w:bookmarkStart w:id="68" w:name="_Toc15396628"/>
      <w:r>
        <w:rPr>
          <w:rStyle w:val="28"/>
          <w:rFonts w:hint="eastAsia" w:ascii="黑体" w:hAnsi="黑体" w:eastAsia="黑体" w:cs="黑体"/>
          <w:b w:val="0"/>
          <w:bCs w:val="0"/>
        </w:rPr>
        <w:t>十、一般公共预算财政拨款“三公”经费支出决算表</w:t>
      </w:r>
      <w:bookmarkEnd w:id="68"/>
    </w:p>
    <w:p>
      <w:pPr>
        <w:spacing w:line="576" w:lineRule="exact"/>
        <w:ind w:firstLine="640" w:firstLineChars="200"/>
        <w:rPr>
          <w:rStyle w:val="28"/>
          <w:rFonts w:ascii="黑体" w:hAnsi="黑体" w:eastAsia="黑体" w:cs="黑体"/>
          <w:b w:val="0"/>
          <w:bCs w:val="0"/>
        </w:rPr>
      </w:pPr>
      <w:bookmarkStart w:id="69" w:name="_Toc15396629"/>
      <w:r>
        <w:rPr>
          <w:rStyle w:val="28"/>
          <w:rFonts w:hint="eastAsia" w:ascii="黑体" w:hAnsi="黑体" w:eastAsia="黑体" w:cs="黑体"/>
          <w:b w:val="0"/>
          <w:bCs w:val="0"/>
        </w:rPr>
        <w:t>十一、政府性基金预算财政拨款收入支出决算表</w:t>
      </w:r>
      <w:bookmarkEnd w:id="69"/>
    </w:p>
    <w:p>
      <w:pPr>
        <w:spacing w:line="576" w:lineRule="exact"/>
        <w:ind w:firstLine="640" w:firstLineChars="200"/>
        <w:rPr>
          <w:rStyle w:val="28"/>
          <w:rFonts w:ascii="黑体" w:hAnsi="黑体" w:eastAsia="黑体" w:cs="黑体"/>
          <w:b w:val="0"/>
          <w:bCs w:val="0"/>
          <w:spacing w:val="-20"/>
        </w:rPr>
      </w:pPr>
      <w:bookmarkStart w:id="70" w:name="_Toc15396630"/>
      <w:r>
        <w:rPr>
          <w:rStyle w:val="28"/>
          <w:rFonts w:hint="eastAsia" w:ascii="黑体" w:hAnsi="黑体" w:eastAsia="黑体" w:cs="黑体"/>
          <w:b w:val="0"/>
          <w:bCs w:val="0"/>
        </w:rPr>
        <w:t>十二、</w:t>
      </w:r>
      <w:r>
        <w:rPr>
          <w:rStyle w:val="28"/>
          <w:rFonts w:hint="eastAsia" w:ascii="黑体" w:hAnsi="黑体" w:eastAsia="黑体" w:cs="黑体"/>
          <w:b w:val="0"/>
          <w:bCs w:val="0"/>
          <w:spacing w:val="-20"/>
        </w:rPr>
        <w:t>政府性基金预算财政拨款“三公”经费支出决算表</w:t>
      </w:r>
      <w:bookmarkEnd w:id="70"/>
    </w:p>
    <w:p>
      <w:pPr>
        <w:spacing w:line="576" w:lineRule="exact"/>
        <w:ind w:firstLine="640" w:firstLineChars="200"/>
        <w:rPr>
          <w:rStyle w:val="28"/>
          <w:rFonts w:ascii="黑体" w:hAnsi="黑体" w:eastAsia="黑体" w:cs="黑体"/>
          <w:b w:val="0"/>
          <w:bCs w:val="0"/>
        </w:rPr>
      </w:pPr>
      <w:bookmarkStart w:id="71" w:name="_Toc15396631"/>
      <w:r>
        <w:rPr>
          <w:rStyle w:val="28"/>
          <w:rFonts w:hint="eastAsia" w:ascii="黑体" w:hAnsi="黑体" w:eastAsia="黑体" w:cs="黑体"/>
          <w:b w:val="0"/>
          <w:bCs w:val="0"/>
        </w:rPr>
        <w:t>十三、国有资本经营预算财政拨款收入支出决算表</w:t>
      </w:r>
      <w:bookmarkEnd w:id="71"/>
    </w:p>
    <w:p>
      <w:pPr>
        <w:spacing w:line="576" w:lineRule="exact"/>
        <w:ind w:firstLine="640" w:firstLineChars="200"/>
        <w:rPr>
          <w:rStyle w:val="28"/>
          <w:rFonts w:ascii="黑体" w:hAnsi="黑体" w:eastAsia="黑体" w:cs="黑体"/>
          <w:b w:val="0"/>
          <w:bCs w:val="0"/>
        </w:rPr>
      </w:pPr>
      <w:r>
        <w:rPr>
          <w:rStyle w:val="28"/>
          <w:rFonts w:hint="eastAsia" w:ascii="黑体" w:hAnsi="黑体" w:eastAsia="黑体" w:cs="黑体"/>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A2996"/>
    <w:multiLevelType w:val="singleLevel"/>
    <w:tmpl w:val="B47A299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1">
    <w:nsid w:val="CF652CEC"/>
    <w:multiLevelType w:val="singleLevel"/>
    <w:tmpl w:val="CF652CEC"/>
    <w:lvl w:ilvl="0" w:tentative="0">
      <w:start w:val="9"/>
      <w:numFmt w:val="chineseCounting"/>
      <w:suff w:val="nothing"/>
      <w:lvlText w:val="%1、"/>
      <w:lvlJc w:val="left"/>
      <w:pPr>
        <w:ind w:left="-640"/>
      </w:pPr>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01B675C"/>
    <w:multiLevelType w:val="singleLevel"/>
    <w:tmpl w:val="301B675C"/>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N2E4ODA2OTZiNzcwNmQ1YTRmODcwYWRiMDdlY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4D35"/>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6C7"/>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C62FE"/>
    <w:rsid w:val="01192926"/>
    <w:rsid w:val="01255392"/>
    <w:rsid w:val="01D00512"/>
    <w:rsid w:val="01E2294C"/>
    <w:rsid w:val="0205420F"/>
    <w:rsid w:val="021574DB"/>
    <w:rsid w:val="02417937"/>
    <w:rsid w:val="024E06A7"/>
    <w:rsid w:val="026017C0"/>
    <w:rsid w:val="02B71F67"/>
    <w:rsid w:val="03E07A24"/>
    <w:rsid w:val="03EF0DA4"/>
    <w:rsid w:val="04397422"/>
    <w:rsid w:val="045C6BBA"/>
    <w:rsid w:val="0570558C"/>
    <w:rsid w:val="05CA5C40"/>
    <w:rsid w:val="066E0107"/>
    <w:rsid w:val="067E3242"/>
    <w:rsid w:val="06CF50D3"/>
    <w:rsid w:val="07353DDE"/>
    <w:rsid w:val="074145DD"/>
    <w:rsid w:val="07690D64"/>
    <w:rsid w:val="078266E9"/>
    <w:rsid w:val="07996F6E"/>
    <w:rsid w:val="07D60DBF"/>
    <w:rsid w:val="083843C6"/>
    <w:rsid w:val="083A316D"/>
    <w:rsid w:val="083E6008"/>
    <w:rsid w:val="085B5C58"/>
    <w:rsid w:val="08870D8A"/>
    <w:rsid w:val="08CD07B9"/>
    <w:rsid w:val="0A2032A3"/>
    <w:rsid w:val="0A3A662E"/>
    <w:rsid w:val="0AD57593"/>
    <w:rsid w:val="0AEB5E2A"/>
    <w:rsid w:val="0AF21165"/>
    <w:rsid w:val="0BF8033E"/>
    <w:rsid w:val="0C950978"/>
    <w:rsid w:val="0CE10B87"/>
    <w:rsid w:val="0CFF6FD7"/>
    <w:rsid w:val="0D017CC7"/>
    <w:rsid w:val="0D591211"/>
    <w:rsid w:val="0DF86685"/>
    <w:rsid w:val="0E634CDA"/>
    <w:rsid w:val="0F583A9D"/>
    <w:rsid w:val="101860EC"/>
    <w:rsid w:val="109878A5"/>
    <w:rsid w:val="10C055FF"/>
    <w:rsid w:val="1100110B"/>
    <w:rsid w:val="112C1239"/>
    <w:rsid w:val="11566AC8"/>
    <w:rsid w:val="118107EC"/>
    <w:rsid w:val="120C2F43"/>
    <w:rsid w:val="120D2B40"/>
    <w:rsid w:val="12557610"/>
    <w:rsid w:val="12C56763"/>
    <w:rsid w:val="13147372"/>
    <w:rsid w:val="13A22600"/>
    <w:rsid w:val="13A303FD"/>
    <w:rsid w:val="13D50BC4"/>
    <w:rsid w:val="140F7BE3"/>
    <w:rsid w:val="14A27202"/>
    <w:rsid w:val="14FB2C15"/>
    <w:rsid w:val="1517719C"/>
    <w:rsid w:val="155C542E"/>
    <w:rsid w:val="16BB723D"/>
    <w:rsid w:val="170C1CB4"/>
    <w:rsid w:val="171E204A"/>
    <w:rsid w:val="175C666A"/>
    <w:rsid w:val="17EA07CD"/>
    <w:rsid w:val="190774DE"/>
    <w:rsid w:val="190B50EC"/>
    <w:rsid w:val="192D01A1"/>
    <w:rsid w:val="192D7318"/>
    <w:rsid w:val="195A634B"/>
    <w:rsid w:val="19E42B0F"/>
    <w:rsid w:val="1A472073"/>
    <w:rsid w:val="1A970737"/>
    <w:rsid w:val="1B777B18"/>
    <w:rsid w:val="1BCC7441"/>
    <w:rsid w:val="1BE8440E"/>
    <w:rsid w:val="1D155CEE"/>
    <w:rsid w:val="1DB42AC3"/>
    <w:rsid w:val="1DDE4D35"/>
    <w:rsid w:val="1E7600AF"/>
    <w:rsid w:val="1EF00226"/>
    <w:rsid w:val="1F170F70"/>
    <w:rsid w:val="1F3225AD"/>
    <w:rsid w:val="1FE80C1C"/>
    <w:rsid w:val="202A75B5"/>
    <w:rsid w:val="20407429"/>
    <w:rsid w:val="20886E5B"/>
    <w:rsid w:val="20941067"/>
    <w:rsid w:val="215A23D6"/>
    <w:rsid w:val="21620979"/>
    <w:rsid w:val="21A722D1"/>
    <w:rsid w:val="21AB59B0"/>
    <w:rsid w:val="21C13011"/>
    <w:rsid w:val="21FC56E5"/>
    <w:rsid w:val="22B21331"/>
    <w:rsid w:val="22C64F8A"/>
    <w:rsid w:val="23860B96"/>
    <w:rsid w:val="23AB259A"/>
    <w:rsid w:val="23F511B0"/>
    <w:rsid w:val="240371BF"/>
    <w:rsid w:val="24121303"/>
    <w:rsid w:val="242B4E6A"/>
    <w:rsid w:val="24DC03F6"/>
    <w:rsid w:val="25CB3BAE"/>
    <w:rsid w:val="25F94A58"/>
    <w:rsid w:val="26727FA6"/>
    <w:rsid w:val="267F0C45"/>
    <w:rsid w:val="26AF42B7"/>
    <w:rsid w:val="26B03A18"/>
    <w:rsid w:val="271E7F7C"/>
    <w:rsid w:val="2769103F"/>
    <w:rsid w:val="27E46470"/>
    <w:rsid w:val="28287660"/>
    <w:rsid w:val="28C46D5E"/>
    <w:rsid w:val="294F5B72"/>
    <w:rsid w:val="29E31034"/>
    <w:rsid w:val="29E72052"/>
    <w:rsid w:val="29EE0C29"/>
    <w:rsid w:val="29FD04D3"/>
    <w:rsid w:val="2A022DF9"/>
    <w:rsid w:val="2AA56946"/>
    <w:rsid w:val="2B1D3303"/>
    <w:rsid w:val="2B6F4D95"/>
    <w:rsid w:val="2B714350"/>
    <w:rsid w:val="2BCE7FDF"/>
    <w:rsid w:val="2C297706"/>
    <w:rsid w:val="2C66290D"/>
    <w:rsid w:val="2C765440"/>
    <w:rsid w:val="2C8A61B5"/>
    <w:rsid w:val="2CAD67B0"/>
    <w:rsid w:val="2D36699D"/>
    <w:rsid w:val="2DF04E50"/>
    <w:rsid w:val="2DF124D2"/>
    <w:rsid w:val="2E0223DD"/>
    <w:rsid w:val="2E5B0A62"/>
    <w:rsid w:val="2E832C1B"/>
    <w:rsid w:val="2E8A6D89"/>
    <w:rsid w:val="2E9F5CE5"/>
    <w:rsid w:val="2EB034A2"/>
    <w:rsid w:val="2EB86CC3"/>
    <w:rsid w:val="2F6A254A"/>
    <w:rsid w:val="2F7B36D1"/>
    <w:rsid w:val="2FE970DD"/>
    <w:rsid w:val="30352AA7"/>
    <w:rsid w:val="305619E6"/>
    <w:rsid w:val="306D203E"/>
    <w:rsid w:val="30E16A06"/>
    <w:rsid w:val="31297687"/>
    <w:rsid w:val="314C5D92"/>
    <w:rsid w:val="31510E66"/>
    <w:rsid w:val="316F31FB"/>
    <w:rsid w:val="317B1BF7"/>
    <w:rsid w:val="319F7F4E"/>
    <w:rsid w:val="31F9125D"/>
    <w:rsid w:val="323549FE"/>
    <w:rsid w:val="325E3C14"/>
    <w:rsid w:val="32722728"/>
    <w:rsid w:val="32CA60D9"/>
    <w:rsid w:val="32FA3B5F"/>
    <w:rsid w:val="336D4586"/>
    <w:rsid w:val="33FB7298"/>
    <w:rsid w:val="34316A85"/>
    <w:rsid w:val="34412B8A"/>
    <w:rsid w:val="345B7EAA"/>
    <w:rsid w:val="358205D2"/>
    <w:rsid w:val="359F7AA1"/>
    <w:rsid w:val="35BA7253"/>
    <w:rsid w:val="35C33AF2"/>
    <w:rsid w:val="363475D8"/>
    <w:rsid w:val="36755B1F"/>
    <w:rsid w:val="36AA5135"/>
    <w:rsid w:val="36E55E6D"/>
    <w:rsid w:val="37075FB1"/>
    <w:rsid w:val="378508D2"/>
    <w:rsid w:val="37D91F55"/>
    <w:rsid w:val="37E16F03"/>
    <w:rsid w:val="37EE502E"/>
    <w:rsid w:val="38225942"/>
    <w:rsid w:val="383C4522"/>
    <w:rsid w:val="39371B65"/>
    <w:rsid w:val="39416D08"/>
    <w:rsid w:val="39416E08"/>
    <w:rsid w:val="39500C5F"/>
    <w:rsid w:val="399A707F"/>
    <w:rsid w:val="39B001F4"/>
    <w:rsid w:val="39B91B77"/>
    <w:rsid w:val="39D02B98"/>
    <w:rsid w:val="3A0B7CE9"/>
    <w:rsid w:val="3A5A6066"/>
    <w:rsid w:val="3B0F06B9"/>
    <w:rsid w:val="3B10327D"/>
    <w:rsid w:val="3B23141D"/>
    <w:rsid w:val="3B5924A3"/>
    <w:rsid w:val="3BAD6CAE"/>
    <w:rsid w:val="3BFB7CBF"/>
    <w:rsid w:val="3C66006D"/>
    <w:rsid w:val="3CAD21A3"/>
    <w:rsid w:val="3CC079C0"/>
    <w:rsid w:val="3CC5515A"/>
    <w:rsid w:val="3D34657B"/>
    <w:rsid w:val="3D98207C"/>
    <w:rsid w:val="3DF37CF3"/>
    <w:rsid w:val="3E587BDC"/>
    <w:rsid w:val="3E891976"/>
    <w:rsid w:val="3EA96396"/>
    <w:rsid w:val="3F696545"/>
    <w:rsid w:val="40A3703C"/>
    <w:rsid w:val="41005A17"/>
    <w:rsid w:val="415758EA"/>
    <w:rsid w:val="42071BC1"/>
    <w:rsid w:val="42DA32B5"/>
    <w:rsid w:val="435E1BAB"/>
    <w:rsid w:val="438020AF"/>
    <w:rsid w:val="43BF1A33"/>
    <w:rsid w:val="43D54207"/>
    <w:rsid w:val="43DF5653"/>
    <w:rsid w:val="44533B52"/>
    <w:rsid w:val="447F5DD9"/>
    <w:rsid w:val="449175A0"/>
    <w:rsid w:val="44B10979"/>
    <w:rsid w:val="44B313D5"/>
    <w:rsid w:val="44B96A48"/>
    <w:rsid w:val="44E268DA"/>
    <w:rsid w:val="44E96D40"/>
    <w:rsid w:val="451D3288"/>
    <w:rsid w:val="45482758"/>
    <w:rsid w:val="455B5A6C"/>
    <w:rsid w:val="457C2FEA"/>
    <w:rsid w:val="45B93139"/>
    <w:rsid w:val="45C14311"/>
    <w:rsid w:val="45E26A62"/>
    <w:rsid w:val="45EA4266"/>
    <w:rsid w:val="46B14E89"/>
    <w:rsid w:val="46CE30E3"/>
    <w:rsid w:val="475A38EF"/>
    <w:rsid w:val="49987A1D"/>
    <w:rsid w:val="49C83E68"/>
    <w:rsid w:val="49EE6BC1"/>
    <w:rsid w:val="4A090D61"/>
    <w:rsid w:val="4A493C6D"/>
    <w:rsid w:val="4A55651B"/>
    <w:rsid w:val="4A627F82"/>
    <w:rsid w:val="4ACD7E87"/>
    <w:rsid w:val="4AED6BB2"/>
    <w:rsid w:val="4B4F25DA"/>
    <w:rsid w:val="4B5F12F0"/>
    <w:rsid w:val="4B865B7B"/>
    <w:rsid w:val="4BE068DB"/>
    <w:rsid w:val="4C177197"/>
    <w:rsid w:val="4D127DD4"/>
    <w:rsid w:val="4D2E761D"/>
    <w:rsid w:val="4D491D51"/>
    <w:rsid w:val="4D577224"/>
    <w:rsid w:val="4D593BAF"/>
    <w:rsid w:val="4D655B01"/>
    <w:rsid w:val="4DA236C6"/>
    <w:rsid w:val="4DB80796"/>
    <w:rsid w:val="4DF22F0D"/>
    <w:rsid w:val="4E8A341E"/>
    <w:rsid w:val="4E936CC3"/>
    <w:rsid w:val="4EAB630A"/>
    <w:rsid w:val="4ECE2238"/>
    <w:rsid w:val="4EF50329"/>
    <w:rsid w:val="4F052F49"/>
    <w:rsid w:val="4F976C0B"/>
    <w:rsid w:val="4FC17592"/>
    <w:rsid w:val="4FF30B37"/>
    <w:rsid w:val="507129EE"/>
    <w:rsid w:val="50B43E19"/>
    <w:rsid w:val="51482FC2"/>
    <w:rsid w:val="51C96547"/>
    <w:rsid w:val="52515F5F"/>
    <w:rsid w:val="526C7952"/>
    <w:rsid w:val="528F37A9"/>
    <w:rsid w:val="52E74C6B"/>
    <w:rsid w:val="53AD493B"/>
    <w:rsid w:val="53C42DF5"/>
    <w:rsid w:val="53C4517A"/>
    <w:rsid w:val="541F6948"/>
    <w:rsid w:val="54245470"/>
    <w:rsid w:val="54340214"/>
    <w:rsid w:val="54424EA8"/>
    <w:rsid w:val="545D5732"/>
    <w:rsid w:val="54700059"/>
    <w:rsid w:val="5537017E"/>
    <w:rsid w:val="55BC2EA8"/>
    <w:rsid w:val="56091FB9"/>
    <w:rsid w:val="567304B2"/>
    <w:rsid w:val="5701035C"/>
    <w:rsid w:val="57014E5D"/>
    <w:rsid w:val="57072D8F"/>
    <w:rsid w:val="575BBA23"/>
    <w:rsid w:val="57641F8B"/>
    <w:rsid w:val="585D60C3"/>
    <w:rsid w:val="58795E3F"/>
    <w:rsid w:val="58A543E5"/>
    <w:rsid w:val="58C43ACB"/>
    <w:rsid w:val="59457D7D"/>
    <w:rsid w:val="59AA4345"/>
    <w:rsid w:val="5AC62618"/>
    <w:rsid w:val="5AF92295"/>
    <w:rsid w:val="5B3D4CC4"/>
    <w:rsid w:val="5B9423F3"/>
    <w:rsid w:val="5BBC74D9"/>
    <w:rsid w:val="5BDB360F"/>
    <w:rsid w:val="5C5767DD"/>
    <w:rsid w:val="5CA0283D"/>
    <w:rsid w:val="5CD71FC4"/>
    <w:rsid w:val="5D1B0D83"/>
    <w:rsid w:val="5D5C1735"/>
    <w:rsid w:val="5D7C4ADC"/>
    <w:rsid w:val="5E026DBE"/>
    <w:rsid w:val="5E286A9B"/>
    <w:rsid w:val="5EA42C9D"/>
    <w:rsid w:val="5F2345A8"/>
    <w:rsid w:val="5FD638C8"/>
    <w:rsid w:val="603A201A"/>
    <w:rsid w:val="60746C09"/>
    <w:rsid w:val="60837687"/>
    <w:rsid w:val="60D42634"/>
    <w:rsid w:val="61550EA9"/>
    <w:rsid w:val="61AD2EE0"/>
    <w:rsid w:val="624A3B84"/>
    <w:rsid w:val="625574BA"/>
    <w:rsid w:val="62600C89"/>
    <w:rsid w:val="62ED5038"/>
    <w:rsid w:val="62F34A5A"/>
    <w:rsid w:val="631E5FBA"/>
    <w:rsid w:val="63A90E47"/>
    <w:rsid w:val="63EC401A"/>
    <w:rsid w:val="64025452"/>
    <w:rsid w:val="6420738E"/>
    <w:rsid w:val="64351374"/>
    <w:rsid w:val="644D72E0"/>
    <w:rsid w:val="64813139"/>
    <w:rsid w:val="653F581F"/>
    <w:rsid w:val="655E5F7B"/>
    <w:rsid w:val="65BF157C"/>
    <w:rsid w:val="66376316"/>
    <w:rsid w:val="66E9031E"/>
    <w:rsid w:val="672D5A67"/>
    <w:rsid w:val="67483212"/>
    <w:rsid w:val="67615FF4"/>
    <w:rsid w:val="681327CD"/>
    <w:rsid w:val="68AC4BEE"/>
    <w:rsid w:val="68FC2370"/>
    <w:rsid w:val="693D0C00"/>
    <w:rsid w:val="69673828"/>
    <w:rsid w:val="69835B23"/>
    <w:rsid w:val="69D9190D"/>
    <w:rsid w:val="69E7279E"/>
    <w:rsid w:val="6A1508FA"/>
    <w:rsid w:val="6A482602"/>
    <w:rsid w:val="6A7D697F"/>
    <w:rsid w:val="6A8207F2"/>
    <w:rsid w:val="6A9E4112"/>
    <w:rsid w:val="6AE82251"/>
    <w:rsid w:val="6B665D93"/>
    <w:rsid w:val="6B666A81"/>
    <w:rsid w:val="6B821F0D"/>
    <w:rsid w:val="6BB52AF5"/>
    <w:rsid w:val="6C1B2B4C"/>
    <w:rsid w:val="6C4A05C8"/>
    <w:rsid w:val="6CCD1611"/>
    <w:rsid w:val="6CD97FB6"/>
    <w:rsid w:val="6CE17C1E"/>
    <w:rsid w:val="6CEF3CD9"/>
    <w:rsid w:val="6D2070F3"/>
    <w:rsid w:val="6D571920"/>
    <w:rsid w:val="6D5B4F8B"/>
    <w:rsid w:val="6D9F4924"/>
    <w:rsid w:val="6E133DB5"/>
    <w:rsid w:val="6E2A23AC"/>
    <w:rsid w:val="6E7E3605"/>
    <w:rsid w:val="6FF5CC65"/>
    <w:rsid w:val="700B4048"/>
    <w:rsid w:val="715C0E4B"/>
    <w:rsid w:val="719649BF"/>
    <w:rsid w:val="71CA17F9"/>
    <w:rsid w:val="71F268BA"/>
    <w:rsid w:val="72734D90"/>
    <w:rsid w:val="72CC236B"/>
    <w:rsid w:val="737E6A02"/>
    <w:rsid w:val="739248FD"/>
    <w:rsid w:val="73AD73D5"/>
    <w:rsid w:val="73B6EB34"/>
    <w:rsid w:val="73B74D96"/>
    <w:rsid w:val="73C62984"/>
    <w:rsid w:val="73E37B04"/>
    <w:rsid w:val="741D1C2C"/>
    <w:rsid w:val="747616AC"/>
    <w:rsid w:val="75341FEF"/>
    <w:rsid w:val="754F7968"/>
    <w:rsid w:val="75BD7F3E"/>
    <w:rsid w:val="75BF36BE"/>
    <w:rsid w:val="76392656"/>
    <w:rsid w:val="76970762"/>
    <w:rsid w:val="76B94AFE"/>
    <w:rsid w:val="773A6123"/>
    <w:rsid w:val="776536BB"/>
    <w:rsid w:val="77E460C6"/>
    <w:rsid w:val="793E3EE5"/>
    <w:rsid w:val="79411D66"/>
    <w:rsid w:val="79EE4F6B"/>
    <w:rsid w:val="79EE5BA4"/>
    <w:rsid w:val="7A0273A6"/>
    <w:rsid w:val="7A626B42"/>
    <w:rsid w:val="7A894339"/>
    <w:rsid w:val="7A936D2A"/>
    <w:rsid w:val="7AD978E0"/>
    <w:rsid w:val="7AF26386"/>
    <w:rsid w:val="7C6E495D"/>
    <w:rsid w:val="7C893017"/>
    <w:rsid w:val="7C8B7FBE"/>
    <w:rsid w:val="7CD86AB1"/>
    <w:rsid w:val="7CDF6C8D"/>
    <w:rsid w:val="7D485F18"/>
    <w:rsid w:val="7D891584"/>
    <w:rsid w:val="7D9C12B8"/>
    <w:rsid w:val="7E2050D1"/>
    <w:rsid w:val="7ED446CD"/>
    <w:rsid w:val="7EEF11D3"/>
    <w:rsid w:val="7F067B28"/>
    <w:rsid w:val="7F5F40FF"/>
    <w:rsid w:val="7F8B74D9"/>
    <w:rsid w:val="7F943A36"/>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7">
    <w:name w:val="Body Text Indent"/>
    <w:basedOn w:val="1"/>
    <w:next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next w:val="1"/>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249293141295696"/>
          <c:y val="0.00637890708058686"/>
        </c:manualLayout>
      </c:layout>
      <c:overlay val="false"/>
      <c:spPr>
        <a:noFill/>
        <a:ln>
          <a:noFill/>
        </a:ln>
        <a:effectLst/>
      </c:spPr>
    </c:title>
    <c:autoTitleDeleted val="false"/>
    <c:plotArea>
      <c:layout>
        <c:manualLayout>
          <c:layoutTarget val="inner"/>
          <c:xMode val="edge"/>
          <c:yMode val="edge"/>
          <c:x val="0.0771019959138771"/>
          <c:y val="0.0632101999505097"/>
          <c:w val="0.883601795616583"/>
          <c:h val="0.722125474436258"/>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
                  <c:y val="0.00275946294965282"/>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856.39</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65814113619"/>
                </c:manualLayout>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zh-CN"/>
                      <a:t>913.05</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2020年收支决算总计</c:v>
                </c:pt>
                <c:pt idx="1">
                  <c:v>2021年收支决算总计</c:v>
                </c:pt>
              </c:strCache>
            </c:strRef>
          </c:cat>
          <c:val>
            <c:numRef>
              <c:f>Sheet1!$B$2:$B$3</c:f>
              <c:numCache>
                <c:formatCode>General</c:formatCode>
                <c:ptCount val="2"/>
                <c:pt idx="0">
                  <c:v>854.39</c:v>
                </c:pt>
                <c:pt idx="1">
                  <c:v>913.05</c:v>
                </c:pt>
              </c:numCache>
            </c:numRef>
          </c:val>
        </c:ser>
        <c:dLbls>
          <c:showLegendKey val="false"/>
          <c:showVal val="false"/>
          <c:showCatName val="false"/>
          <c:showSerName val="false"/>
          <c:showPercent val="false"/>
          <c:showBubbleSize val="false"/>
        </c:dLbls>
        <c:gapWidth val="219"/>
        <c:overlap val="-27"/>
        <c:axId val="106340736"/>
        <c:axId val="106342272"/>
      </c:barChart>
      <c:catAx>
        <c:axId val="106340736"/>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342272"/>
        <c:crosses val="autoZero"/>
        <c:auto val="true"/>
        <c:lblAlgn val="ctr"/>
        <c:lblOffset val="100"/>
        <c:noMultiLvlLbl val="false"/>
      </c:catAx>
      <c:valAx>
        <c:axId val="106342272"/>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340736"/>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27090178897408"/>
          <c:y val="0.00877449546651068"/>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2021年本年收入（万元）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manualLayout>
                  <c:x val="0.153340635268346"/>
                  <c:y val="-0.1442803160425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908.05</c:v>
                </c:pt>
                <c:pt idx="1" c:formatCode="#,##0.00">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317642298354465"/>
          <c:y val="0.90590979782270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2021年本年支出（万元）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682.88</c:v>
                </c:pt>
                <c:pt idx="1">
                  <c:v>230.17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财政拨款收支决算总计（万元）</a:t>
            </a:r>
          </a:p>
        </c:rich>
      </c:tx>
      <c:layout/>
      <c:overlay val="false"/>
      <c:spPr>
        <a:noFill/>
        <a:ln>
          <a:noFill/>
        </a:ln>
        <a:effectLst/>
      </c:spPr>
    </c:title>
    <c:autoTitleDeleted val="false"/>
    <c:plotArea>
      <c:layout>
        <c:manualLayout>
          <c:layoutTarget val="inner"/>
          <c:xMode val="edge"/>
          <c:yMode val="edge"/>
          <c:x val="0.0618695537364669"/>
          <c:y val="0.191091292699263"/>
          <c:w val="0.927925"/>
          <c:h val="0.716566666666667"/>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manualLayout>
                  <c:x val="-0.00356482703987325"/>
                  <c:y val="0.0156284885018977"/>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187541862022773"/>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2020年收支决算总计</c:v>
                </c:pt>
                <c:pt idx="1">
                  <c:v>2021年收支决算总计</c:v>
                </c:pt>
              </c:strCache>
            </c:strRef>
          </c:cat>
          <c:val>
            <c:numRef>
              <c:f>Sheet1!$B$2:$B$3</c:f>
              <c:numCache>
                <c:formatCode>General</c:formatCode>
                <c:ptCount val="2"/>
                <c:pt idx="0">
                  <c:v>856.39</c:v>
                </c:pt>
                <c:pt idx="1">
                  <c:v>913.05</c:v>
                </c:pt>
              </c:numCache>
            </c:numRef>
          </c:val>
        </c:ser>
        <c:dLbls>
          <c:showLegendKey val="false"/>
          <c:showVal val="false"/>
          <c:showCatName val="false"/>
          <c:showSerName val="false"/>
          <c:showPercent val="false"/>
          <c:showBubbleSize val="false"/>
        </c:dLbls>
        <c:gapWidth val="219"/>
        <c:overlap val="-27"/>
        <c:axId val="106550400"/>
        <c:axId val="106551936"/>
      </c:barChart>
      <c:catAx>
        <c:axId val="106550400"/>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551936"/>
        <c:crosses val="autoZero"/>
        <c:auto val="true"/>
        <c:lblAlgn val="ctr"/>
        <c:lblOffset val="100"/>
        <c:noMultiLvlLbl val="false"/>
      </c:catAx>
      <c:valAx>
        <c:axId val="106551936"/>
        <c:scaling>
          <c:orientation val="minMax"/>
        </c:scaling>
        <c:delete val="false"/>
        <c:axPos val="l"/>
        <c:majorGridlines>
          <c:spPr>
            <a:ln w="9525" cap="flat" cmpd="sng" algn="ctr">
              <a:solidFill>
                <a:schemeClr val="bg1">
                  <a:lumMod val="6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550400"/>
        <c:crosses val="autoZero"/>
        <c:crossBetween val="between"/>
      </c:valAx>
      <c:spPr>
        <a:noFill/>
        <a:ln>
          <a:noFill/>
        </a:ln>
        <a:effectLst/>
      </c:spPr>
    </c:plotArea>
    <c:legend>
      <c:legendPos val="b"/>
      <c:layout>
        <c:manualLayout>
          <c:xMode val="edge"/>
          <c:yMode val="edge"/>
          <c:x val="0.397426095820591"/>
          <c:y val="0.92240273621205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140447401953328"/>
          <c:y val="0.0105160608846417"/>
        </c:manualLayout>
      </c:layout>
      <c:overlay val="false"/>
      <c:spPr>
        <a:noFill/>
        <a:ln>
          <a:noFill/>
        </a:ln>
        <a:effectLst/>
      </c:spPr>
    </c:title>
    <c:autoTitleDeleted val="false"/>
    <c:plotArea>
      <c:layout>
        <c:manualLayout>
          <c:layoutTarget val="inner"/>
          <c:xMode val="edge"/>
          <c:yMode val="edge"/>
          <c:x val="0.0876512096774194"/>
          <c:y val="0.0258700911967244"/>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856.39</c:v>
                </c:pt>
                <c:pt idx="1">
                  <c:v>913.05</c:v>
                </c:pt>
              </c:numCache>
            </c:numRef>
          </c:val>
        </c:ser>
        <c:dLbls>
          <c:showLegendKey val="false"/>
          <c:showVal val="false"/>
          <c:showCatName val="false"/>
          <c:showSerName val="false"/>
          <c:showPercent val="false"/>
          <c:showBubbleSize val="false"/>
        </c:dLbls>
        <c:gapWidth val="219"/>
        <c:overlap val="-27"/>
        <c:axId val="106781696"/>
        <c:axId val="106783488"/>
      </c:barChart>
      <c:catAx>
        <c:axId val="106781696"/>
        <c:scaling>
          <c:orientation val="minMax"/>
        </c:scaling>
        <c:delete val="false"/>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783488"/>
        <c:crosses val="autoZero"/>
        <c:auto val="true"/>
        <c:lblAlgn val="ctr"/>
        <c:lblOffset val="100"/>
        <c:noMultiLvlLbl val="false"/>
      </c:catAx>
      <c:valAx>
        <c:axId val="106783488"/>
        <c:scaling>
          <c:orientation val="minMax"/>
        </c:scaling>
        <c:delete val="false"/>
        <c:axPos val="l"/>
        <c:majorGridlines>
          <c:spPr>
            <a:ln w="9525" cap="flat" cmpd="sng" algn="ctr">
              <a:solidFill>
                <a:schemeClr val="bg1">
                  <a:lumMod val="65000"/>
                </a:schemeClr>
              </a:solidFill>
              <a:round/>
            </a:ln>
            <a:effectLst/>
          </c:spPr>
        </c:majorGridlines>
        <c:numFmt formatCode="#,##0.00"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6781696"/>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r>
              <a:rPr lang="en-US" altLang="zh-CN"/>
              <a:t>%</a:t>
            </a:r>
            <a:r>
              <a:t>）</a:t>
            </a:r>
          </a:p>
        </c:rich>
      </c:tx>
      <c:layout>
        <c:manualLayout>
          <c:xMode val="edge"/>
          <c:yMode val="edge"/>
          <c:x val="0.283297698402717"/>
          <c:y val="0.018897951064253"/>
        </c:manualLayout>
      </c:layout>
      <c:overlay val="false"/>
      <c:spPr>
        <a:noFill/>
        <a:ln>
          <a:noFill/>
        </a:ln>
        <a:effectLst/>
      </c:spPr>
    </c:title>
    <c:autoTitleDeleted val="false"/>
    <c:plotArea>
      <c:layout/>
      <c:pieChart>
        <c:varyColors val="true"/>
        <c:ser>
          <c:idx val="0"/>
          <c:order val="0"/>
          <c:tx>
            <c:strRef>
              <c:f>Sheet1!$B$1</c:f>
              <c:strCache>
                <c:ptCount val="1"/>
                <c:pt idx="0">
                  <c:v>一般公共预算财政拨款支出</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Pt>
            <c:idx val="10"/>
            <c:bubble3D val="false"/>
            <c:spPr>
              <a:solidFill>
                <a:schemeClr val="accent5">
                  <a:lumMod val="60000"/>
                </a:schemeClr>
              </a:solidFill>
              <a:ln w="19050">
                <a:solidFill>
                  <a:schemeClr val="lt1"/>
                </a:solidFill>
              </a:ln>
              <a:effectLst/>
            </c:spPr>
          </c:dPt>
          <c:dPt>
            <c:idx val="11"/>
            <c:bubble3D val="false"/>
            <c:spPr>
              <a:solidFill>
                <a:schemeClr val="accent6">
                  <a:lumMod val="60000"/>
                </a:schemeClr>
              </a:solidFill>
              <a:ln w="19050">
                <a:solidFill>
                  <a:schemeClr val="lt1"/>
                </a:solidFill>
              </a:ln>
              <a:effectLst/>
            </c:spPr>
          </c:dPt>
          <c:dPt>
            <c:idx val="12"/>
            <c:bubble3D val="false"/>
            <c:spPr>
              <a:solidFill>
                <a:schemeClr val="accent1">
                  <a:lumMod val="80000"/>
                  <a:lumOff val="20000"/>
                </a:schemeClr>
              </a:solidFill>
              <a:ln w="19050">
                <a:solidFill>
                  <a:schemeClr val="lt1"/>
                </a:solidFill>
              </a:ln>
              <a:effectLst/>
            </c:spPr>
          </c:dPt>
          <c:dPt>
            <c:idx val="13"/>
            <c:bubble3D val="false"/>
            <c:spPr>
              <a:solidFill>
                <a:schemeClr val="accent2">
                  <a:lumMod val="80000"/>
                  <a:lumOff val="20000"/>
                </a:schemeClr>
              </a:solidFill>
              <a:ln w="19050">
                <a:solidFill>
                  <a:schemeClr val="lt1"/>
                </a:solidFill>
              </a:ln>
              <a:effectLst/>
            </c:spPr>
          </c:dPt>
          <c:dPt>
            <c:idx val="14"/>
            <c:bubble3D val="false"/>
            <c:spPr>
              <a:solidFill>
                <a:schemeClr val="accent3">
                  <a:lumMod val="80000"/>
                  <a:lumOff val="20000"/>
                </a:schemeClr>
              </a:solidFill>
              <a:ln w="19050">
                <a:solidFill>
                  <a:schemeClr val="lt1"/>
                </a:solidFill>
              </a:ln>
              <a:effectLst/>
            </c:spPr>
          </c:dPt>
          <c:dPt>
            <c:idx val="15"/>
            <c:bubble3D val="false"/>
            <c:spPr>
              <a:solidFill>
                <a:schemeClr val="accent4">
                  <a:lumMod val="80000"/>
                  <a:lumOff val="2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Sheet1!$A$2:$A$17</c:f>
              <c:strCache>
                <c:ptCount val="16"/>
                <c:pt idx="0">
                  <c:v>一般公共服务支出</c:v>
                </c:pt>
                <c:pt idx="1">
                  <c:v>国防支出</c:v>
                </c:pt>
                <c:pt idx="2">
                  <c:v>公共安全支出</c:v>
                </c:pt>
                <c:pt idx="3">
                  <c:v>科学技术支出</c:v>
                </c:pt>
                <c:pt idx="4">
                  <c:v>文化旅游体育与传媒支出</c:v>
                </c:pt>
                <c:pt idx="5">
                  <c:v>社会保障和就业支出</c:v>
                </c:pt>
                <c:pt idx="6">
                  <c:v>卫生健康支出</c:v>
                </c:pt>
                <c:pt idx="7">
                  <c:v>节能环保支出</c:v>
                </c:pt>
                <c:pt idx="8">
                  <c:v>城乡社区支出</c:v>
                </c:pt>
                <c:pt idx="9">
                  <c:v>农林水支出</c:v>
                </c:pt>
                <c:pt idx="10">
                  <c:v>交通运输</c:v>
                </c:pt>
                <c:pt idx="11">
                  <c:v>商业服务等支出</c:v>
                </c:pt>
                <c:pt idx="12">
                  <c:v>金融支出</c:v>
                </c:pt>
                <c:pt idx="13">
                  <c:v>住房保障支出</c:v>
                </c:pt>
                <c:pt idx="14">
                  <c:v>灾害防治及应急管理支出</c:v>
                </c:pt>
                <c:pt idx="15">
                  <c:v>其他支出</c:v>
                </c:pt>
              </c:strCache>
            </c:strRef>
          </c:cat>
          <c:val>
            <c:numRef>
              <c:f>Sheet1!$B$2:$B$17</c:f>
              <c:numCache>
                <c:formatCode>0.00%</c:formatCode>
                <c:ptCount val="16"/>
                <c:pt idx="0">
                  <c:v>0.4967</c:v>
                </c:pt>
                <c:pt idx="1">
                  <c:v>0</c:v>
                </c:pt>
                <c:pt idx="2">
                  <c:v>0.0077</c:v>
                </c:pt>
                <c:pt idx="3">
                  <c:v>0</c:v>
                </c:pt>
                <c:pt idx="4">
                  <c:v>0</c:v>
                </c:pt>
                <c:pt idx="5">
                  <c:v>0.0305</c:v>
                </c:pt>
                <c:pt idx="6">
                  <c:v>0.012</c:v>
                </c:pt>
                <c:pt idx="7">
                  <c:v>0</c:v>
                </c:pt>
                <c:pt idx="8">
                  <c:v>0.0099</c:v>
                </c:pt>
                <c:pt idx="9">
                  <c:v>0.3921</c:v>
                </c:pt>
                <c:pt idx="10">
                  <c:v>0.0011</c:v>
                </c:pt>
                <c:pt idx="11">
                  <c:v>0</c:v>
                </c:pt>
                <c:pt idx="12">
                  <c:v>0</c:v>
                </c:pt>
                <c:pt idx="13">
                  <c:v>0.0292</c:v>
                </c:pt>
                <c:pt idx="14">
                  <c:v>0.0207</c:v>
                </c:pt>
                <c:pt idx="15">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10613</Words>
  <Characters>11735</Characters>
  <Lines>18</Lines>
  <Paragraphs>25</Paragraphs>
  <TotalTime>8</TotalTime>
  <ScaleCrop>false</ScaleCrop>
  <LinksUpToDate>false</LinksUpToDate>
  <CharactersWithSpaces>11812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2022-08-08T17:11:00Z</cp:lastPrinted>
  <dcterms:modified xsi:type="dcterms:W3CDTF">2026-01-19T08:34:32Z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