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bookmarkStart w:id="1" w:name="_Toc15378441"/>
      <w:bookmarkStart w:id="2" w:name="_Toc15377193"/>
      <w:bookmarkStart w:id="3" w:name="_Toc15377425"/>
      <w:bookmarkStart w:id="4" w:name="_Toc15396597"/>
      <w:bookmarkStart w:id="5" w:name="_Toc15396475"/>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bookmarkStart w:id="69" w:name="_GoBack"/>
      <w:bookmarkEnd w:id="69"/>
      <w:r>
        <w:rPr>
          <w:rFonts w:hint="eastAsia" w:ascii="方正小标宋简体" w:hAnsi="方正小标宋简体" w:eastAsia="方正小标宋简体" w:cs="方正小标宋简体"/>
          <w:sz w:val="72"/>
          <w:szCs w:val="72"/>
          <w:lang w:val="en-US" w:eastAsia="zh-CN"/>
        </w:rPr>
        <w:t>2024年度</w:t>
      </w:r>
      <w:bookmarkEnd w:id="0"/>
      <w:bookmarkEnd w:id="1"/>
      <w:bookmarkEnd w:id="2"/>
      <w:bookmarkEnd w:id="3"/>
      <w:bookmarkEnd w:id="4"/>
      <w:bookmarkEnd w:id="5"/>
      <w:bookmarkStart w:id="6" w:name="_Toc15396476"/>
      <w:bookmarkStart w:id="7" w:name="_Toc15377194"/>
      <w:bookmarkStart w:id="8" w:name="_Toc15306268"/>
      <w:bookmarkStart w:id="9" w:name="_Toc15377426"/>
      <w:bookmarkStart w:id="10" w:name="_Toc15396598"/>
      <w:bookmarkStart w:id="11" w:name="_Toc15378442"/>
      <w:r>
        <w:rPr>
          <w:rFonts w:hint="eastAsia" w:ascii="方正小标宋简体" w:hAnsi="方正小标宋简体" w:eastAsia="方正小标宋简体" w:cs="方正小标宋简体"/>
          <w:sz w:val="72"/>
          <w:szCs w:val="72"/>
          <w:lang w:val="en-US" w:eastAsia="zh-CN"/>
        </w:rPr>
        <w:t>广元经济技术</w:t>
      </w:r>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开发区袁家坝办事处</w:t>
      </w:r>
    </w:p>
    <w:p>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部门决算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keepNext w:val="0"/>
        <w:keepLines w:val="0"/>
        <w:pageBreakBefore w:val="0"/>
        <w:widowControl/>
        <w:tabs>
          <w:tab w:val="right" w:leader="dot" w:pos="8296"/>
          <w:tab w:val="right" w:leader="dot" w:pos="8400"/>
        </w:tabs>
        <w:kinsoku/>
        <w:wordWrap/>
        <w:overflowPunct/>
        <w:topLinePunct w:val="0"/>
        <w:autoSpaceDE/>
        <w:autoSpaceDN/>
        <w:bidi w:val="0"/>
        <w:spacing w:line="440" w:lineRule="exact"/>
        <w:jc w:val="left"/>
        <w:textAlignment w:val="auto"/>
        <w:rPr>
          <w:rFonts w:ascii="仿宋" w:hAnsi="仿宋" w:eastAsia="仿宋"/>
          <w:b/>
          <w:color w:val="auto"/>
          <w:sz w:val="24"/>
          <w:highlight w:val="none"/>
        </w:rPr>
      </w:pPr>
      <w:bookmarkStart w:id="12" w:name="_Toc15396599"/>
      <w:bookmarkStart w:id="13" w:name="_Toc15377196"/>
      <w:r>
        <w:rPr>
          <w:rFonts w:ascii="仿宋" w:hAnsi="仿宋" w:eastAsia="仿宋"/>
          <w:b/>
          <w:color w:val="auto"/>
          <w:sz w:val="24"/>
          <w:highlight w:val="none"/>
        </w:rPr>
        <w:br w:type="page"/>
      </w:r>
    </w:p>
    <w:p>
      <w:pPr>
        <w:widowControl/>
        <w:ind w:firstLine="3600" w:firstLineChars="1000"/>
        <w:jc w:val="both"/>
        <w:rPr>
          <w:rFonts w:ascii="黑体" w:hAnsi="黑体" w:eastAsia="黑体"/>
          <w:color w:val="auto"/>
          <w:sz w:val="36"/>
          <w:szCs w:val="36"/>
          <w:highlight w:val="none"/>
        </w:rPr>
      </w:pPr>
      <w:r>
        <w:rPr>
          <w:rFonts w:hint="eastAsia" w:ascii="黑体" w:hAnsi="黑体" w:eastAsia="黑体"/>
          <w:color w:val="auto"/>
          <w:sz w:val="36"/>
          <w:szCs w:val="36"/>
          <w:highlight w:val="none"/>
        </w:rPr>
        <w:t>目</w:t>
      </w:r>
      <w:r>
        <w:rPr>
          <w:rFonts w:hint="eastAsia" w:ascii="黑体" w:hAnsi="黑体" w:eastAsia="黑体"/>
          <w:color w:val="auto"/>
          <w:sz w:val="36"/>
          <w:szCs w:val="36"/>
          <w:highlight w:val="none"/>
          <w:lang w:val="en-US" w:eastAsia="zh-CN"/>
        </w:rPr>
        <w:t xml:space="preserve">  </w:t>
      </w:r>
      <w:r>
        <w:rPr>
          <w:rFonts w:hint="eastAsia" w:ascii="黑体" w:hAnsi="黑体" w:eastAsia="黑体"/>
          <w:color w:val="auto"/>
          <w:sz w:val="36"/>
          <w:szCs w:val="36"/>
          <w:highlight w:val="none"/>
        </w:rPr>
        <w:t>录</w:t>
      </w:r>
    </w:p>
    <w:p>
      <w:pPr>
        <w:pStyle w:val="13"/>
        <w:tabs>
          <w:tab w:val="left" w:pos="7037"/>
          <w:tab w:val="clear" w:pos="8296"/>
        </w:tabs>
        <w:ind w:firstLine="2400" w:firstLineChars="1000"/>
        <w:jc w:val="both"/>
        <w:rPr>
          <w:rFonts w:hint="eastAsia" w:eastAsia="仿宋"/>
          <w:color w:val="auto"/>
          <w:sz w:val="24"/>
          <w:szCs w:val="24"/>
          <w:highlight w:val="none"/>
          <w:lang w:eastAsia="zh-CN"/>
        </w:rPr>
      </w:pPr>
      <w:r>
        <w:rPr>
          <w:rFonts w:hint="eastAsia"/>
          <w:color w:val="auto"/>
          <w:sz w:val="24"/>
          <w:szCs w:val="24"/>
          <w:highlight w:val="none"/>
        </w:rPr>
        <w:t>公开时间：20</w:t>
      </w:r>
      <w:r>
        <w:rPr>
          <w:rFonts w:hint="eastAsia"/>
          <w:color w:val="auto"/>
          <w:sz w:val="24"/>
          <w:szCs w:val="24"/>
          <w:highlight w:val="none"/>
          <w:lang w:val="en-US" w:eastAsia="zh-CN"/>
        </w:rPr>
        <w:t>25</w:t>
      </w:r>
      <w:r>
        <w:rPr>
          <w:rFonts w:hint="eastAsia"/>
          <w:color w:val="auto"/>
          <w:sz w:val="24"/>
          <w:szCs w:val="24"/>
          <w:highlight w:val="none"/>
        </w:rPr>
        <w:t>年</w:t>
      </w:r>
      <w:r>
        <w:rPr>
          <w:rFonts w:hint="eastAsia"/>
          <w:color w:val="auto"/>
          <w:sz w:val="24"/>
          <w:szCs w:val="24"/>
          <w:highlight w:val="none"/>
          <w:lang w:val="en-US" w:eastAsia="zh-CN"/>
        </w:rPr>
        <w:t xml:space="preserve"> 10</w:t>
      </w:r>
      <w:r>
        <w:rPr>
          <w:rFonts w:hint="eastAsia"/>
          <w:color w:val="auto"/>
          <w:sz w:val="24"/>
          <w:szCs w:val="24"/>
          <w:highlight w:val="none"/>
        </w:rPr>
        <w:t>月</w:t>
      </w:r>
      <w:r>
        <w:rPr>
          <w:rFonts w:hint="eastAsia"/>
          <w:color w:val="auto"/>
          <w:sz w:val="24"/>
          <w:szCs w:val="24"/>
          <w:highlight w:val="none"/>
          <w:lang w:val="en-US" w:eastAsia="zh-CN"/>
        </w:rPr>
        <w:t xml:space="preserve"> 2 </w:t>
      </w:r>
      <w:r>
        <w:rPr>
          <w:rFonts w:hint="eastAsia"/>
          <w:color w:val="auto"/>
          <w:sz w:val="24"/>
          <w:szCs w:val="24"/>
          <w:highlight w:val="none"/>
        </w:rPr>
        <w:t>日</w:t>
      </w:r>
      <w:r>
        <w:rPr>
          <w:rFonts w:hint="eastAsia"/>
          <w:color w:val="auto"/>
          <w:sz w:val="24"/>
          <w:szCs w:val="24"/>
          <w:highlight w:val="none"/>
          <w:lang w:eastAsia="zh-CN"/>
        </w:rPr>
        <w:tab/>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cstheme="minorBidi"/>
          <w:color w:val="auto"/>
          <w:sz w:val="21"/>
          <w:szCs w:val="21"/>
          <w:highlight w:val="none"/>
        </w:rPr>
      </w:pPr>
      <w:r>
        <w:rPr>
          <w:rFonts w:hint="eastAsia"/>
          <w:color w:val="auto"/>
          <w:sz w:val="21"/>
          <w:szCs w:val="21"/>
          <w:highlight w:val="none"/>
        </w:rPr>
        <w:t>第一部分</w:t>
      </w:r>
      <w:r>
        <w:rPr>
          <w:color w:val="auto"/>
          <w:sz w:val="21"/>
          <w:szCs w:val="21"/>
          <w:highlight w:val="none"/>
        </w:rPr>
        <w:t xml:space="preserve"> </w:t>
      </w:r>
      <w:r>
        <w:rPr>
          <w:rFonts w:hint="eastAsia"/>
          <w:color w:val="auto"/>
          <w:sz w:val="21"/>
          <w:szCs w:val="21"/>
          <w:highlight w:val="none"/>
          <w:lang w:val="en-US" w:eastAsia="zh-CN"/>
        </w:rPr>
        <w:t>部门</w:t>
      </w:r>
      <w:r>
        <w:rPr>
          <w:rFonts w:hint="eastAsia"/>
          <w:color w:val="auto"/>
          <w:sz w:val="21"/>
          <w:szCs w:val="21"/>
          <w:highlight w:val="none"/>
        </w:rPr>
        <w:t>概况</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eastAsia"/>
          <w:color w:val="auto"/>
          <w:sz w:val="21"/>
          <w:szCs w:val="21"/>
          <w:highlight w:val="none"/>
          <w:lang w:val="en-US" w:eastAsia="zh-CN"/>
        </w:rPr>
      </w:pPr>
      <w:r>
        <w:rPr>
          <w:rFonts w:hint="eastAsia"/>
          <w:color w:val="auto"/>
          <w:sz w:val="21"/>
          <w:szCs w:val="21"/>
          <w:highlight w:val="none"/>
        </w:rPr>
        <w:t>一、</w:t>
      </w:r>
      <w:r>
        <w:rPr>
          <w:rFonts w:hint="eastAsia"/>
          <w:color w:val="auto"/>
          <w:sz w:val="21"/>
          <w:szCs w:val="21"/>
          <w:highlight w:val="none"/>
          <w:lang w:val="en-US" w:eastAsia="zh-CN"/>
        </w:rPr>
        <w:t>部门</w:t>
      </w:r>
      <w:r>
        <w:rPr>
          <w:rFonts w:hint="eastAsia"/>
          <w:color w:val="auto"/>
          <w:sz w:val="21"/>
          <w:szCs w:val="21"/>
          <w:highlight w:val="none"/>
          <w:lang w:eastAsia="zh-CN"/>
        </w:rPr>
        <w:t>职责</w:t>
      </w:r>
      <w:r>
        <w:rPr>
          <w:sz w:val="21"/>
          <w:szCs w:val="21"/>
        </w:rPr>
        <w:tab/>
      </w:r>
      <w:r>
        <w:rPr>
          <w:rFonts w:hint="eastAsia"/>
          <w:color w:val="auto"/>
          <w:sz w:val="21"/>
          <w:szCs w:val="21"/>
          <w:highlight w:val="none"/>
          <w:lang w:val="en-US" w:eastAsia="zh-CN"/>
        </w:rPr>
        <w:t>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lang w:val="en-US" w:eastAsia="zh-CN"/>
        </w:rPr>
      </w:pPr>
      <w:r>
        <w:rPr>
          <w:rFonts w:hint="eastAsia"/>
          <w:color w:val="auto"/>
          <w:sz w:val="21"/>
          <w:szCs w:val="21"/>
          <w:highlight w:val="none"/>
          <w:lang w:eastAsia="zh-CN"/>
        </w:rPr>
        <w:t>二</w:t>
      </w:r>
      <w:r>
        <w:rPr>
          <w:rFonts w:hint="eastAsia"/>
          <w:color w:val="auto"/>
          <w:sz w:val="21"/>
          <w:szCs w:val="21"/>
          <w:highlight w:val="none"/>
        </w:rPr>
        <w:t>、</w:t>
      </w:r>
      <w:r>
        <w:rPr>
          <w:rFonts w:hint="eastAsia"/>
          <w:color w:val="auto"/>
          <w:sz w:val="21"/>
          <w:szCs w:val="21"/>
          <w:highlight w:val="none"/>
          <w:lang w:eastAsia="zh-CN"/>
        </w:rPr>
        <w:t>机构设</w:t>
      </w:r>
      <w:r>
        <w:rPr>
          <w:rFonts w:hint="eastAsia"/>
          <w:color w:val="auto"/>
          <w:sz w:val="21"/>
          <w:szCs w:val="21"/>
          <w:highlight w:val="none"/>
          <w:lang w:val="en-US" w:eastAsia="zh-CN"/>
        </w:rPr>
        <w:t>置</w:t>
      </w:r>
      <w:r>
        <w:rPr>
          <w:rFonts w:hint="eastAsia"/>
          <w:color w:val="auto"/>
          <w:sz w:val="21"/>
          <w:szCs w:val="21"/>
          <w:highlight w:val="none"/>
          <w:lang w:val="en-US" w:eastAsia="zh-CN"/>
        </w:rPr>
        <w:tab/>
      </w:r>
      <w:r>
        <w:rPr>
          <w:rFonts w:hint="eastAsia"/>
          <w:color w:val="auto"/>
          <w:sz w:val="21"/>
          <w:szCs w:val="21"/>
          <w:highlight w:val="none"/>
          <w:lang w:val="en-US" w:eastAsia="zh-CN"/>
        </w:rPr>
        <w:t xml:space="preserve"> 6</w:t>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eastAsia="仿宋"/>
          <w:color w:val="auto"/>
          <w:sz w:val="21"/>
          <w:szCs w:val="21"/>
          <w:highlight w:val="none"/>
          <w:lang w:val="en-US" w:eastAsia="zh-CN"/>
        </w:rPr>
      </w:pPr>
      <w:r>
        <w:rPr>
          <w:rFonts w:hint="eastAsia"/>
          <w:color w:val="auto"/>
          <w:sz w:val="21"/>
          <w:szCs w:val="21"/>
          <w:highlight w:val="none"/>
        </w:rPr>
        <w:t>第二部分</w:t>
      </w:r>
      <w:r>
        <w:rPr>
          <w:rFonts w:hint="eastAsia"/>
          <w:color w:val="auto"/>
          <w:sz w:val="21"/>
          <w:szCs w:val="21"/>
          <w:highlight w:val="none"/>
          <w:lang w:val="en-US" w:eastAsia="zh-CN"/>
        </w:rPr>
        <w:t xml:space="preserve"> 2023年度部门</w:t>
      </w:r>
      <w:r>
        <w:rPr>
          <w:rFonts w:hint="eastAsia"/>
          <w:color w:val="auto"/>
          <w:sz w:val="21"/>
          <w:szCs w:val="21"/>
          <w:highlight w:val="none"/>
        </w:rPr>
        <w:t>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7</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一、收入支出决算总体情况说明</w:t>
      </w:r>
      <w:r>
        <w:rPr>
          <w:rFonts w:hint="eastAsia"/>
          <w:color w:val="auto"/>
          <w:sz w:val="21"/>
          <w:szCs w:val="21"/>
          <w:highlight w:val="none"/>
          <w:lang w:val="en-US" w:eastAsia="zh-CN"/>
        </w:rPr>
        <w:tab/>
      </w:r>
      <w:r>
        <w:rPr>
          <w:rFonts w:hint="eastAsia"/>
          <w:color w:val="auto"/>
          <w:sz w:val="21"/>
          <w:szCs w:val="21"/>
          <w:highlight w:val="none"/>
          <w:lang w:val="en-US" w:eastAsia="zh-CN"/>
        </w:rPr>
        <w:t>7</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二、收入决算情况说明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7</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三、支出决算情况说明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8</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四、财政拨款收入支出决算总体情况说明</w:t>
      </w:r>
      <w:r>
        <w:rPr>
          <w:rFonts w:hint="eastAsia"/>
          <w:color w:val="auto"/>
          <w:sz w:val="21"/>
          <w:szCs w:val="21"/>
          <w:highlight w:val="none"/>
          <w:lang w:val="en-US" w:eastAsia="zh-CN"/>
        </w:rPr>
        <w:tab/>
      </w:r>
      <w:r>
        <w:rPr>
          <w:rFonts w:hint="eastAsia"/>
          <w:color w:val="auto"/>
          <w:sz w:val="21"/>
          <w:szCs w:val="21"/>
          <w:highlight w:val="none"/>
          <w:lang w:val="en-US" w:eastAsia="zh-CN"/>
        </w:rPr>
        <w:t>9</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五、一般公共预算财政拨款支出决算情况说明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10</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六、一般公共预算财政拨款基本支出决算情况说明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15</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七、财政拨款</w:t>
      </w:r>
      <w:r>
        <w:rPr>
          <w:rFonts w:hint="eastAsia"/>
          <w:color w:val="auto"/>
          <w:sz w:val="21"/>
          <w:szCs w:val="21"/>
          <w:highlight w:val="none"/>
          <w:lang w:eastAsia="zh-CN"/>
        </w:rPr>
        <w:t>“</w:t>
      </w:r>
      <w:r>
        <w:rPr>
          <w:rFonts w:hint="eastAsia"/>
          <w:color w:val="auto"/>
          <w:sz w:val="21"/>
          <w:szCs w:val="21"/>
          <w:highlight w:val="none"/>
        </w:rPr>
        <w:t>三公”经费支出决算情况说明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16</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八、政府性基金预算支出决算情况说明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18</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九、国有资本经营预算支出决算情况说明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18</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十、其他重要事项的情况说明</w:t>
      </w:r>
      <w:r>
        <w:rPr>
          <w:rFonts w:hint="eastAsia"/>
          <w:color w:val="auto"/>
          <w:sz w:val="21"/>
          <w:szCs w:val="21"/>
          <w:highlight w:val="none"/>
          <w:lang w:val="en-US" w:eastAsia="zh-CN"/>
        </w:rPr>
        <w:tab/>
      </w:r>
      <w:r>
        <w:rPr>
          <w:rFonts w:hint="eastAsia"/>
          <w:color w:val="auto"/>
          <w:sz w:val="21"/>
          <w:szCs w:val="21"/>
          <w:highlight w:val="none"/>
          <w:lang w:val="en-US" w:eastAsia="zh-CN"/>
        </w:rPr>
        <w:t>18</w:t>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eastAsia="仿宋" w:cstheme="minorBidi"/>
          <w:color w:val="auto"/>
          <w:sz w:val="21"/>
          <w:szCs w:val="21"/>
          <w:highlight w:val="none"/>
          <w:lang w:val="en-US" w:eastAsia="zh-CN"/>
        </w:rPr>
      </w:pPr>
      <w:r>
        <w:rPr>
          <w:rFonts w:hint="eastAsia"/>
          <w:color w:val="auto"/>
          <w:sz w:val="21"/>
          <w:szCs w:val="21"/>
          <w:highlight w:val="none"/>
        </w:rPr>
        <w:t>第三部分</w:t>
      </w:r>
      <w:r>
        <w:rPr>
          <w:color w:val="auto"/>
          <w:sz w:val="21"/>
          <w:szCs w:val="21"/>
          <w:highlight w:val="none"/>
        </w:rPr>
        <w:t xml:space="preserve"> </w:t>
      </w:r>
      <w:r>
        <w:rPr>
          <w:rFonts w:hint="eastAsia"/>
          <w:color w:val="auto"/>
          <w:sz w:val="21"/>
          <w:szCs w:val="21"/>
          <w:highlight w:val="none"/>
        </w:rPr>
        <w:t>名词解释</w:t>
      </w:r>
      <w:r>
        <w:rPr>
          <w:rFonts w:hint="eastAsia"/>
          <w:color w:val="auto"/>
          <w:sz w:val="21"/>
          <w:szCs w:val="21"/>
          <w:highlight w:val="none"/>
          <w:lang w:val="en-US" w:eastAsia="zh-CN"/>
        </w:rPr>
        <w:tab/>
      </w:r>
      <w:r>
        <w:rPr>
          <w:rFonts w:hint="eastAsia" w:ascii="Times New Roman" w:hAnsi="Times New Roman" w:eastAsia="宋体" w:cs="Times New Roman"/>
          <w:color w:val="auto"/>
          <w:kern w:val="2"/>
          <w:sz w:val="21"/>
          <w:szCs w:val="21"/>
          <w:highlight w:val="none"/>
          <w:lang w:val="en-US" w:eastAsia="zh-CN" w:bidi="ar-SA"/>
        </w:rPr>
        <w:t>20</w:t>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第四部分</w:t>
      </w:r>
      <w:r>
        <w:rPr>
          <w:color w:val="auto"/>
          <w:sz w:val="21"/>
          <w:szCs w:val="21"/>
          <w:highlight w:val="none"/>
        </w:rPr>
        <w:t xml:space="preserve"> </w:t>
      </w:r>
      <w:r>
        <w:rPr>
          <w:rFonts w:hint="eastAsia"/>
          <w:color w:val="auto"/>
          <w:sz w:val="21"/>
          <w:szCs w:val="21"/>
          <w:highlight w:val="none"/>
        </w:rPr>
        <w:t>附件</w:t>
      </w:r>
      <w:r>
        <w:rPr>
          <w:rFonts w:hint="eastAsia"/>
          <w:color w:val="auto"/>
          <w:sz w:val="21"/>
          <w:szCs w:val="21"/>
          <w:highlight w:val="none"/>
          <w:lang w:val="en-US" w:eastAsia="zh-CN"/>
        </w:rPr>
        <w:tab/>
      </w:r>
      <w:r>
        <w:rPr>
          <w:rFonts w:hint="eastAsia" w:ascii="Times New Roman" w:hAnsi="Times New Roman" w:eastAsia="宋体" w:cs="Times New Roman"/>
          <w:color w:val="auto"/>
          <w:kern w:val="2"/>
          <w:sz w:val="21"/>
          <w:szCs w:val="21"/>
          <w:highlight w:val="none"/>
          <w:lang w:val="en-US" w:eastAsia="zh-CN" w:bidi="ar-SA"/>
        </w:rPr>
        <w:t>25</w:t>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第五部分</w:t>
      </w:r>
      <w:r>
        <w:rPr>
          <w:color w:val="auto"/>
          <w:sz w:val="21"/>
          <w:szCs w:val="21"/>
          <w:highlight w:val="none"/>
        </w:rPr>
        <w:t xml:space="preserve"> </w:t>
      </w:r>
      <w:r>
        <w:rPr>
          <w:rFonts w:hint="eastAsia"/>
          <w:color w:val="auto"/>
          <w:sz w:val="21"/>
          <w:szCs w:val="21"/>
          <w:highlight w:val="none"/>
        </w:rPr>
        <w:t>附表</w:t>
      </w:r>
      <w:r>
        <w:rPr>
          <w:rFonts w:hint="eastAsia"/>
          <w:color w:val="auto"/>
          <w:sz w:val="21"/>
          <w:szCs w:val="21"/>
          <w:highlight w:val="none"/>
          <w:lang w:val="en-US" w:eastAsia="zh-CN"/>
        </w:rPr>
        <w:tab/>
      </w:r>
      <w:r>
        <w:rPr>
          <w:rFonts w:hint="eastAsia" w:ascii="Times New Roman" w:hAnsi="Times New Roman" w:eastAsia="宋体" w:cs="Times New Roman"/>
          <w:color w:val="auto"/>
          <w:kern w:val="2"/>
          <w:sz w:val="21"/>
          <w:szCs w:val="21"/>
          <w:highlight w:val="none"/>
          <w:lang w:val="en-US" w:eastAsia="zh-CN" w:bidi="ar-SA"/>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一、收入支出决算总表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二、收入决算表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三、支出决算表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四、财政拨款收入支出决算总表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五、财政拨款支出决算明细表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六、一般公共预算财政拨款支出决算表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七、一般公共预算财政拨款支出决算明细表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八、一般公共预算财政拨款基本支出决算</w:t>
      </w:r>
      <w:r>
        <w:rPr>
          <w:rFonts w:hint="eastAsia"/>
          <w:color w:val="auto"/>
          <w:sz w:val="21"/>
          <w:szCs w:val="21"/>
          <w:highlight w:val="none"/>
          <w:lang w:eastAsia="zh-CN"/>
        </w:rPr>
        <w:t>明细</w:t>
      </w:r>
      <w:r>
        <w:rPr>
          <w:rFonts w:hint="eastAsia"/>
          <w:color w:val="auto"/>
          <w:sz w:val="21"/>
          <w:szCs w:val="21"/>
          <w:highlight w:val="none"/>
        </w:rPr>
        <w:t>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九、一般公共预算财政拨款项目支出决算表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十、政府性基金预算财政拨款收入支出决算表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十一、国有资本经营预算财政拨款收入支出决算表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ind w:left="0" w:leftChars="0" w:firstLine="420" w:firstLineChars="200"/>
        <w:jc w:val="left"/>
        <w:textAlignment w:val="auto"/>
        <w:rPr>
          <w:rFonts w:hint="default"/>
          <w:color w:val="auto"/>
          <w:sz w:val="21"/>
          <w:szCs w:val="21"/>
          <w:highlight w:val="none"/>
          <w:lang w:val="en-US"/>
        </w:rPr>
      </w:pPr>
      <w:r>
        <w:rPr>
          <w:rFonts w:hint="eastAsia"/>
          <w:color w:val="auto"/>
          <w:sz w:val="21"/>
          <w:szCs w:val="21"/>
          <w:highlight w:val="none"/>
        </w:rPr>
        <w:t>十二、</w:t>
      </w:r>
      <w:r>
        <w:rPr>
          <w:rFonts w:hint="eastAsia"/>
          <w:color w:val="auto"/>
          <w:sz w:val="21"/>
          <w:szCs w:val="21"/>
          <w:highlight w:val="none"/>
          <w:lang w:val="en-US" w:eastAsia="zh-CN"/>
        </w:rPr>
        <w:t>国有资本经营预算财政拨款支出决算表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color w:val="auto"/>
          <w:sz w:val="21"/>
          <w:szCs w:val="21"/>
          <w:highlight w:val="none"/>
          <w:lang w:val="en-US"/>
        </w:rPr>
      </w:pPr>
      <w:r>
        <w:rPr>
          <w:rFonts w:hint="eastAsia"/>
          <w:color w:val="auto"/>
          <w:sz w:val="21"/>
          <w:szCs w:val="21"/>
          <w:highlight w:val="none"/>
        </w:rPr>
        <w:t>十三、财政拨款“三公”经费支出决算表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83</w:t>
      </w:r>
    </w:p>
    <w:p>
      <w:pPr>
        <w:pStyle w:val="4"/>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val="en-US" w:eastAsia="zh-CN"/>
        </w:rPr>
        <w:t>部门</w:t>
      </w:r>
      <w:r>
        <w:rPr>
          <w:rStyle w:val="21"/>
          <w:rFonts w:hint="eastAsia" w:ascii="黑体" w:hAnsi="黑体" w:eastAsia="黑体"/>
          <w:b w:val="0"/>
          <w:bCs w:val="0"/>
          <w:color w:val="auto"/>
          <w:highlight w:val="none"/>
        </w:rPr>
        <w:t>概况</w:t>
      </w:r>
      <w:bookmarkEnd w:id="12"/>
      <w:bookmarkEnd w:id="13"/>
    </w:p>
    <w:p>
      <w:pPr>
        <w:pStyle w:val="5"/>
        <w:numPr>
          <w:ilvl w:val="0"/>
          <w:numId w:val="1"/>
        </w:numPr>
        <w:ind w:left="210" w:leftChars="0" w:firstLineChars="0"/>
        <w:rPr>
          <w:rFonts w:hint="eastAsia" w:ascii="仿宋" w:hAnsi="仿宋" w:eastAsia="仿宋"/>
          <w:color w:val="auto"/>
          <w:sz w:val="32"/>
          <w:szCs w:val="32"/>
          <w:highlight w:val="none"/>
          <w:lang w:eastAsia="zh-CN"/>
        </w:rPr>
      </w:pPr>
      <w:bookmarkStart w:id="14" w:name="_Toc15396600"/>
      <w:bookmarkStart w:id="15" w:name="_Toc15377197"/>
      <w:r>
        <w:rPr>
          <w:rStyle w:val="22"/>
          <w:rFonts w:hint="eastAsia" w:ascii="黑体" w:hAnsi="黑体" w:eastAsia="黑体"/>
          <w:b w:val="0"/>
          <w:bCs w:val="0"/>
          <w:color w:val="auto"/>
          <w:highlight w:val="none"/>
          <w:lang w:val="en-US" w:eastAsia="zh-CN"/>
        </w:rPr>
        <w:t>部门</w:t>
      </w:r>
      <w:r>
        <w:rPr>
          <w:rStyle w:val="22"/>
          <w:rFonts w:hint="eastAsia" w:ascii="黑体" w:hAnsi="黑体" w:eastAsia="黑体"/>
          <w:b w:val="0"/>
          <w:bCs w:val="0"/>
          <w:color w:val="auto"/>
          <w:highlight w:val="none"/>
          <w:lang w:eastAsia="zh-CN"/>
        </w:rPr>
        <w:t>职责</w:t>
      </w:r>
    </w:p>
    <w:p>
      <w:pPr>
        <w:spacing w:line="600" w:lineRule="exact"/>
        <w:ind w:firstLine="640" w:firstLineChars="200"/>
        <w:outlineLvl w:val="1"/>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lang w:val="en-US" w:eastAsia="zh-CN"/>
        </w:rPr>
        <w:t>一</w:t>
      </w:r>
      <w:r>
        <w:rPr>
          <w:rFonts w:hint="eastAsia" w:ascii="仿宋" w:hAnsi="仿宋" w:eastAsia="仿宋"/>
          <w:b w:val="0"/>
          <w:bCs w:val="0"/>
          <w:color w:val="auto"/>
          <w:sz w:val="32"/>
          <w:szCs w:val="32"/>
          <w:highlight w:val="none"/>
          <w:lang w:eastAsia="zh-CN"/>
        </w:rPr>
        <w:t>）主要职能</w:t>
      </w:r>
    </w:p>
    <w:p>
      <w:pPr>
        <w:spacing w:line="600" w:lineRule="exact"/>
        <w:ind w:firstLine="640" w:firstLineChars="200"/>
        <w:outlineLvl w:val="1"/>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负责辖区内企业服务、安全生产、信访维稳、房屋征收与补偿、计划生育、民政、劳动就业、社会保障、环境卫生等工作。</w:t>
      </w:r>
    </w:p>
    <w:p>
      <w:pPr>
        <w:spacing w:line="600" w:lineRule="exact"/>
        <w:ind w:firstLine="640" w:firstLineChars="200"/>
        <w:outlineLvl w:val="1"/>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lang w:val="en-US" w:eastAsia="zh-CN"/>
        </w:rPr>
        <w:t>二</w:t>
      </w:r>
      <w:r>
        <w:rPr>
          <w:rFonts w:hint="eastAsia" w:ascii="仿宋" w:hAnsi="仿宋" w:eastAsia="仿宋"/>
          <w:b w:val="0"/>
          <w:bCs w:val="0"/>
          <w:color w:val="auto"/>
          <w:sz w:val="32"/>
          <w:szCs w:val="32"/>
          <w:highlight w:val="none"/>
          <w:lang w:eastAsia="zh-CN"/>
        </w:rPr>
        <w:t>）20</w:t>
      </w:r>
      <w:r>
        <w:rPr>
          <w:rFonts w:hint="eastAsia" w:ascii="仿宋" w:hAnsi="仿宋" w:eastAsia="仿宋"/>
          <w:b w:val="0"/>
          <w:bCs w:val="0"/>
          <w:color w:val="auto"/>
          <w:sz w:val="32"/>
          <w:szCs w:val="32"/>
          <w:highlight w:val="none"/>
          <w:lang w:val="en-US" w:eastAsia="zh-CN"/>
        </w:rPr>
        <w:t>24</w:t>
      </w:r>
      <w:r>
        <w:rPr>
          <w:rFonts w:hint="eastAsia" w:ascii="仿宋" w:hAnsi="仿宋" w:eastAsia="仿宋"/>
          <w:b w:val="0"/>
          <w:bCs w:val="0"/>
          <w:color w:val="auto"/>
          <w:sz w:val="32"/>
          <w:szCs w:val="32"/>
          <w:highlight w:val="none"/>
          <w:lang w:eastAsia="zh-CN"/>
        </w:rPr>
        <w:t>年重点工作</w:t>
      </w:r>
    </w:p>
    <w:p>
      <w:pPr>
        <w:spacing w:line="600" w:lineRule="exact"/>
        <w:ind w:firstLine="640" w:firstLineChars="200"/>
        <w:outlineLvl w:val="1"/>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val="en-US" w:eastAsia="zh-CN"/>
        </w:rPr>
        <w:t>1、</w:t>
      </w:r>
      <w:r>
        <w:rPr>
          <w:rFonts w:hint="eastAsia" w:ascii="仿宋" w:hAnsi="仿宋" w:eastAsia="仿宋"/>
          <w:b w:val="0"/>
          <w:bCs w:val="0"/>
          <w:color w:val="auto"/>
          <w:sz w:val="32"/>
          <w:szCs w:val="32"/>
          <w:highlight w:val="none"/>
          <w:lang w:eastAsia="zh-CN"/>
        </w:rPr>
        <w:t xml:space="preserve">稳步增速、攻坚破难，聚力经济建设谋发展。一是深入分析拟引进企业在延链、补链、强链上的综合能力，瞄准国内外加工行业龙头企业，特别是高纯铝、新能源电池等高附加值项目，加强下游铝精深加工能力。积极推进山东方乔年产3万吨彩图铝卷项目、中信戴卡年产500万只铝制转向节、广元电线电缆制造产业园建设及项目招引力度，提升招商引资成效。二是加强企业运行调度，对园区铝基新材料产业企业实行分类管理，建立服务台账，从要素保障、配套服务、政策支持等方面予以重点保障。力争2024年全年进规工业企业8家以上，完成规上工业总产值360亿元以上；入库项目10个以上，完成固定资产投资28亿元以上；协助企业向上争取各类产业发展资金3000万元以上，协助企业争取融资1亿元以上。三是加快推进项目建设，督促已开工的能投燃气发电、昱航铝业、恒辉铝业、九华明坤、中科瑞能等项目加快建设进度，确保如期建成试产；协调督促弘昌晟技改迁建、电线电缆产业园等项目加快前期手续办理，实质性进场开工建设。督促西安建工全面完成园区道路、管网其他地块场平施工，满足企业入园用地。启动石盘工业园二期征地拆迁工作，力争实质性场平开工。 </w:t>
      </w:r>
    </w:p>
    <w:p>
      <w:pPr>
        <w:spacing w:line="600" w:lineRule="exact"/>
        <w:ind w:firstLine="640" w:firstLineChars="200"/>
        <w:outlineLvl w:val="1"/>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 xml:space="preserve">2、聚焦重点，正风肃纪，坚持党建引领夯基础。一是持续巩固主题教育学习成果，深入学习新思想，在学思用贯通、知信行统一上下功夫,着力从思想体系上研机析理,从精髓要义上深刻领悟,从实践要求上准确把握，切实将主题教育成果运用到推动辖区经济发展，解决园区管理、民生保障、社会治理等方面问题的全过程。二是推动基层党组织建设水平全面提升，加快推进石盘社区阵地建设，不断完善基层治理体系建设。加强“两新”组织建设，健全落实党员干部联系“两新”组织制度，做好新入园企业党员情况摸排和党组织建立工作。筹备召开“两新”组织工作座谈会，全面梳理解决目前“两新”组织发展存在问题。三是切实加强党风廉政建设，压紧压实全面从严治党政治责任，保持惩贪治腐高压态势，持之以恒纠正“四风”，驰而不息正风肃纪，保持“亲清”政商关系。加强重点领域和关键岗位监督，一体推进不敢腐、不能腐、不想腐，营造风清气正的良好政治生态。 </w:t>
      </w:r>
    </w:p>
    <w:p>
      <w:pPr>
        <w:spacing w:line="600" w:lineRule="exact"/>
        <w:ind w:firstLine="640" w:firstLineChars="200"/>
        <w:outlineLvl w:val="1"/>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 xml:space="preserve">3、以民为本、为民解困，完善民生保障守基线。一是结合“千万工程”经验建设宜居宜业和美乡村工作要求，在前期民生项目实施基础上，加快覃家梁村农旅融合产业项目实施，打造精品休闲娱乐点。持续推进上石、石盘道路拓宽、安全饮水、光亮工程等民生项目实施，启动嘉陵社区智慧化社区建设。二是扎实推进社会保障工作，严格落实各项惠民政策，持续开展困难帮扶，落实低保各项配套政策，切实解决困难群体在生产生活、居住、就医、就学等方面的需求。三是完善创业服务保障体系，开展技能培训，抓好就业保障，大力开发就业岗位，助推创业带动就业；规范企业用工行为，加强劳动保障监察，切实维护劳务工合法权益，提升劳动就业保障能力。 </w:t>
      </w:r>
    </w:p>
    <w:p>
      <w:pPr>
        <w:spacing w:line="600" w:lineRule="exact"/>
        <w:ind w:firstLine="640" w:firstLineChars="200"/>
        <w:outlineLvl w:val="1"/>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 xml:space="preserve">4、健全体系、强化监管，严守底线工作保稳定。一是加强安全生产监督管理力度，加强对生产作业现场的安全监督，切实落实事故隐患自查自改，对不按要求进行整改的企业，一律上报相关执法部门严管重罚，确保问题整改取得实效。对安全事故频发的企业进行挂牌督导和约谈问责。二是认真贯彻落实“绿水青山就是金山银山”理念，深入打好蓝天、碧水、净土保卫战，严格落实河长制、林长制、田长制，大力开展城乡垃圾分类、黑臭水体、企业污水、尾气排放治理等工作。围绕农村面源污染、畜禽养殖、农村生活污水排放、医疗废物处置等方面开展生态环境大排查。大力开展“散乱污”企业整治。三是抓好信访综治，促社会安定。加大矛盾纠纷排查处置力度，落实重点人员稳控措施;推进社会稳定风险评估、反恐、反邪教等工作。强化稳定风险排查化解,加大“治重化积”力度，做到信访问题不出园区、不出街道、不出开发区。 </w:t>
      </w:r>
    </w:p>
    <w:p>
      <w:pPr>
        <w:rPr>
          <w:rFonts w:hint="default"/>
          <w:lang w:val="en-US" w:eastAsia="zh-CN"/>
        </w:rPr>
      </w:pP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二、机构设置</w:t>
      </w:r>
    </w:p>
    <w:bookmarkEnd w:id="14"/>
    <w:bookmarkEnd w:id="15"/>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_GB2312" w:hAnsi="仿宋_GB2312" w:eastAsia="仿宋_GB2312" w:cs="仿宋_GB2312"/>
          <w:color w:val="auto"/>
          <w:sz w:val="32"/>
          <w:szCs w:val="32"/>
          <w:highlight w:val="none"/>
        </w:rPr>
        <w:t>袁家坝办事处为广元市经济技术开发区一级预算单位，本单位无下属二级预算单位。</w:t>
      </w:r>
    </w:p>
    <w:p>
      <w:pPr>
        <w:ind w:firstLine="640" w:firstLineChars="200"/>
        <w:rPr>
          <w:rFonts w:hint="eastAsia" w:ascii="Times New Roman" w:hAnsi="楷体_GB2312" w:cs="楷体_GB2312"/>
          <w:color w:val="auto"/>
          <w:sz w:val="32"/>
          <w:szCs w:val="32"/>
          <w:highlight w:val="none"/>
          <w:lang w:eastAsia="zh-CN"/>
        </w:rPr>
      </w:pPr>
      <w:r>
        <w:rPr>
          <w:rFonts w:hint="eastAsia" w:ascii="Times New Roman" w:hAnsi="楷体_GB2312" w:cs="楷体_GB2312"/>
          <w:color w:val="auto"/>
          <w:sz w:val="32"/>
          <w:szCs w:val="32"/>
          <w:highlight w:val="none"/>
          <w:lang w:eastAsia="zh-CN"/>
        </w:rPr>
        <w:br w:type="page"/>
      </w:r>
    </w:p>
    <w:p>
      <w:pPr>
        <w:pStyle w:val="4"/>
        <w:ind w:right="440"/>
        <w:jc w:val="center"/>
        <w:rPr>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1"/>
          <w:rFonts w:hint="eastAsia" w:ascii="黑体" w:hAnsi="黑体" w:eastAsia="黑体"/>
          <w:b w:val="0"/>
          <w:bCs/>
          <w:color w:val="auto"/>
          <w:highlight w:val="none"/>
          <w:lang w:val="en-US" w:eastAsia="zh-CN"/>
        </w:rPr>
        <w:t>部门</w:t>
      </w:r>
      <w:r>
        <w:rPr>
          <w:rStyle w:val="21"/>
          <w:rFonts w:hint="eastAsia" w:ascii="黑体" w:hAnsi="黑体" w:eastAsia="黑体"/>
          <w:b w:val="0"/>
          <w:bCs/>
          <w:color w:val="auto"/>
          <w:highlight w:val="none"/>
        </w:rPr>
        <w:t>决算情况说明</w:t>
      </w:r>
      <w:bookmarkEnd w:id="16"/>
      <w:bookmarkEnd w:id="17"/>
    </w:p>
    <w:p>
      <w:pPr>
        <w:pStyle w:val="31"/>
        <w:numPr>
          <w:ilvl w:val="0"/>
          <w:numId w:val="2"/>
        </w:numPr>
        <w:spacing w:line="600" w:lineRule="exact"/>
        <w:ind w:firstLineChars="0"/>
        <w:outlineLvl w:val="1"/>
        <w:rPr>
          <w:rStyle w:val="22"/>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1040.18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减少41.72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减少3.86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一般公共预算</w:t>
      </w:r>
      <w:r>
        <w:rPr>
          <w:rFonts w:hint="eastAsia" w:ascii="仿宋" w:hAnsi="仿宋" w:eastAsia="仿宋"/>
          <w:color w:val="auto"/>
          <w:sz w:val="32"/>
          <w:szCs w:val="32"/>
          <w:highlight w:val="none"/>
          <w:lang w:eastAsia="zh-CN"/>
        </w:rPr>
        <w:t>财政拨款</w:t>
      </w:r>
      <w:r>
        <w:rPr>
          <w:rFonts w:hint="eastAsia" w:ascii="仿宋" w:hAnsi="仿宋" w:eastAsia="仿宋"/>
          <w:color w:val="auto"/>
          <w:sz w:val="32"/>
          <w:szCs w:val="32"/>
          <w:highlight w:val="none"/>
          <w:lang w:val="en-US" w:eastAsia="zh-CN"/>
        </w:rPr>
        <w:t>收入支出减少</w:t>
      </w:r>
      <w:r>
        <w:rPr>
          <w:rFonts w:hint="eastAsia" w:ascii="仿宋" w:hAnsi="仿宋" w:eastAsia="仿宋"/>
          <w:color w:val="auto"/>
          <w:sz w:val="32"/>
          <w:szCs w:val="32"/>
          <w:highlight w:val="none"/>
          <w:lang w:eastAsia="zh-CN"/>
        </w:rPr>
        <w:t>。</w:t>
      </w:r>
    </w:p>
    <w:p>
      <w:pPr>
        <w:pStyle w:val="2"/>
        <w:ind w:left="0" w:leftChars="0" w:firstLine="0" w:firstLineChars="0"/>
        <w:rPr>
          <w:rFonts w:hint="default"/>
          <w:color w:val="auto"/>
          <w:highlight w:val="none"/>
          <w:lang w:val="en-US" w:eastAsia="zh-CN"/>
        </w:rPr>
      </w:pPr>
      <w:r>
        <w:rPr>
          <w:rFonts w:hint="eastAsia" w:ascii="仿宋" w:hAnsi="仿宋" w:eastAsia="仿宋"/>
          <w:color w:val="auto"/>
          <w:sz w:val="32"/>
          <w:szCs w:val="32"/>
          <w:highlight w:val="none"/>
          <w:lang w:val="en-US" w:eastAsia="zh-CN"/>
        </w:rPr>
        <w:t xml:space="preserve">    </w:t>
      </w:r>
      <w:r>
        <w:rPr>
          <w:rFonts w:hint="default"/>
          <w:color w:val="auto"/>
          <w:highlight w:val="none"/>
          <w:lang w:val="en-US"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jc w:val="left"/>
        <w:rPr>
          <w:rFonts w:ascii="仿宋_GB2312" w:eastAsia="仿宋_GB2312"/>
          <w:color w:val="auto"/>
          <w:sz w:val="32"/>
          <w:szCs w:val="32"/>
          <w:highlight w:val="none"/>
        </w:rPr>
      </w:pPr>
    </w:p>
    <w:p>
      <w:pPr>
        <w:pStyle w:val="31"/>
        <w:numPr>
          <w:ilvl w:val="0"/>
          <w:numId w:val="2"/>
        </w:numPr>
        <w:spacing w:line="600" w:lineRule="exact"/>
        <w:ind w:firstLineChars="0"/>
        <w:outlineLvl w:val="1"/>
        <w:rPr>
          <w:rStyle w:val="22"/>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1040.18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931.06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109.12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956050" cy="4048760"/>
            <wp:effectExtent l="4445" t="4445" r="20955"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31"/>
        <w:numPr>
          <w:ilvl w:val="0"/>
          <w:numId w:val="2"/>
        </w:numPr>
        <w:spacing w:line="600" w:lineRule="exact"/>
        <w:ind w:firstLineChars="0"/>
        <w:outlineLvl w:val="1"/>
        <w:rPr>
          <w:rStyle w:val="22"/>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1040.18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416.11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624.07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956050" cy="4048760"/>
            <wp:effectExtent l="4445" t="4445" r="20955"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ind w:left="0" w:leftChars="0" w:firstLine="960" w:firstLineChars="300"/>
        <w:rPr>
          <w:rFonts w:ascii="仿宋" w:hAnsi="仿宋" w:eastAsia="仿宋"/>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2"/>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年财政拨款</w:t>
      </w:r>
      <w:r>
        <w:rPr>
          <w:rFonts w:hint="eastAsia" w:ascii="仿宋" w:hAnsi="仿宋" w:eastAsia="仿宋"/>
          <w:color w:val="auto"/>
          <w:sz w:val="32"/>
          <w:szCs w:val="32"/>
          <w:highlight w:val="none"/>
          <w:lang w:val="en-US" w:eastAsia="zh-CN"/>
        </w:rPr>
        <w:t>收入</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1040.18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年相比，财政拨款</w:t>
      </w:r>
      <w:r>
        <w:rPr>
          <w:rFonts w:hint="eastAsia" w:ascii="仿宋" w:hAnsi="仿宋" w:eastAsia="仿宋"/>
          <w:color w:val="auto"/>
          <w:sz w:val="32"/>
          <w:szCs w:val="32"/>
          <w:highlight w:val="none"/>
          <w:lang w:val="en-US" w:eastAsia="zh-CN"/>
        </w:rPr>
        <w:t>收入支出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减少41.72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减少3.86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w:t>
      </w:r>
      <w:r>
        <w:rPr>
          <w:rFonts w:hint="eastAsia" w:ascii="仿宋" w:hAnsi="仿宋" w:eastAsia="仿宋"/>
          <w:color w:val="auto"/>
          <w:sz w:val="32"/>
          <w:szCs w:val="32"/>
          <w:highlight w:val="none"/>
          <w:lang w:eastAsia="zh-CN"/>
        </w:rPr>
        <w:t>原因是</w:t>
      </w:r>
      <w:r>
        <w:rPr>
          <w:rFonts w:hint="eastAsia" w:ascii="仿宋" w:hAnsi="仿宋" w:eastAsia="仿宋"/>
          <w:color w:val="auto"/>
          <w:sz w:val="32"/>
          <w:szCs w:val="32"/>
          <w:highlight w:val="none"/>
          <w:lang w:val="en-US" w:eastAsia="zh-CN"/>
        </w:rPr>
        <w:t>一般公共预算</w:t>
      </w:r>
      <w:r>
        <w:rPr>
          <w:rFonts w:hint="eastAsia" w:ascii="仿宋" w:hAnsi="仿宋" w:eastAsia="仿宋"/>
          <w:color w:val="auto"/>
          <w:sz w:val="32"/>
          <w:szCs w:val="32"/>
          <w:highlight w:val="none"/>
          <w:lang w:eastAsia="zh-CN"/>
        </w:rPr>
        <w:t>财政拨款</w:t>
      </w:r>
      <w:r>
        <w:rPr>
          <w:rFonts w:hint="eastAsia" w:ascii="仿宋" w:hAnsi="仿宋" w:eastAsia="仿宋"/>
          <w:color w:val="auto"/>
          <w:sz w:val="32"/>
          <w:szCs w:val="32"/>
          <w:highlight w:val="none"/>
          <w:lang w:val="en-US" w:eastAsia="zh-CN"/>
        </w:rPr>
        <w:t>收入支出减少</w:t>
      </w:r>
      <w:r>
        <w:rPr>
          <w:rFonts w:hint="eastAsia" w:ascii="仿宋" w:hAnsi="仿宋" w:eastAsia="仿宋"/>
          <w:color w:val="auto"/>
          <w:sz w:val="32"/>
          <w:szCs w:val="32"/>
          <w:highlight w:val="none"/>
          <w:lang w:eastAsia="zh-CN"/>
        </w:rPr>
        <w:t>。</w:t>
      </w:r>
    </w:p>
    <w:p>
      <w:pPr>
        <w:pStyle w:val="2"/>
        <w:jc w:val="both"/>
        <w:rPr>
          <w:rFonts w:ascii="仿宋" w:hAnsi="仿宋" w:eastAsia="仿宋"/>
          <w:b/>
          <w:color w:val="auto"/>
          <w:sz w:val="32"/>
          <w:szCs w:val="32"/>
          <w:highlight w:val="none"/>
        </w:rPr>
      </w:pPr>
      <w:r>
        <w:rPr>
          <w:rFonts w:hint="default"/>
          <w:color w:val="auto"/>
          <w:highlight w:val="none"/>
          <w:lang w:val="en-US" w:eastAsia="zh-CN"/>
        </w:rPr>
        <w:drawing>
          <wp:inline distT="0" distB="0" distL="114300" distR="114300">
            <wp:extent cx="4718050" cy="3696970"/>
            <wp:effectExtent l="4445" t="4445" r="2095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2"/>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pStyle w:val="2"/>
        <w:ind w:left="0" w:leftChars="0"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931.06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default"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129.84</w:t>
      </w:r>
      <w:r>
        <w:rPr>
          <w:rFonts w:hint="default" w:ascii="仿宋" w:hAnsi="仿宋" w:eastAsia="仿宋"/>
          <w:color w:val="auto"/>
          <w:sz w:val="32"/>
          <w:szCs w:val="32"/>
          <w:highlight w:val="none"/>
        </w:rPr>
        <w:t>万元</w:t>
      </w:r>
      <w:r>
        <w:rPr>
          <w:rFonts w:hint="eastAsia" w:ascii="仿宋" w:hAnsi="仿宋" w:eastAsia="仿宋"/>
          <w:color w:val="auto"/>
          <w:sz w:val="32"/>
          <w:szCs w:val="32"/>
          <w:highlight w:val="none"/>
        </w:rPr>
        <w:t>，</w:t>
      </w:r>
      <w:r>
        <w:rPr>
          <w:rFonts w:hint="default"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12.24</w:t>
      </w:r>
      <w:r>
        <w:rPr>
          <w:rFonts w:hint="default"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r>
        <w:rPr>
          <w:rFonts w:hint="eastAsia" w:ascii="仿宋" w:hAnsi="仿宋" w:eastAsia="仿宋"/>
          <w:color w:val="auto"/>
          <w:sz w:val="32"/>
          <w:szCs w:val="32"/>
          <w:highlight w:val="none"/>
          <w:lang w:val="en-US" w:eastAsia="zh-CN"/>
        </w:rPr>
        <w:t>2024年一般公共预算财政拨款收入减少。</w: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default"/>
          <w:color w:val="auto"/>
          <w:highlight w:val="none"/>
          <w:lang w:val="en-US" w:eastAsia="zh-CN"/>
        </w:rPr>
        <w:drawing>
          <wp:inline distT="0" distB="0" distL="114300" distR="114300">
            <wp:extent cx="5080000" cy="3791585"/>
            <wp:effectExtent l="4445" t="4445" r="2095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931.06</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567.34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val="en-US" w:eastAsia="zh-CN"/>
        </w:rPr>
        <w:t>国防支出</w:t>
      </w:r>
      <w:r>
        <w:rPr>
          <w:rFonts w:hint="eastAsia" w:ascii="仿宋" w:hAnsi="仿宋" w:eastAsia="仿宋"/>
          <w:color w:val="auto"/>
          <w:sz w:val="32"/>
          <w:szCs w:val="32"/>
          <w:highlight w:val="none"/>
          <w:lang w:val="en-US" w:eastAsia="zh-CN"/>
        </w:rPr>
        <w:t>1万元，占0.11%；</w:t>
      </w:r>
      <w:r>
        <w:rPr>
          <w:rFonts w:hint="eastAsia" w:ascii="仿宋" w:hAnsi="仿宋" w:eastAsia="仿宋"/>
          <w:b/>
          <w:color w:val="auto"/>
          <w:sz w:val="32"/>
          <w:szCs w:val="32"/>
          <w:highlight w:val="none"/>
          <w:lang w:eastAsia="zh-CN"/>
        </w:rPr>
        <w:t>公共安全支出</w:t>
      </w:r>
      <w:r>
        <w:rPr>
          <w:rFonts w:hint="eastAsia" w:ascii="仿宋" w:hAnsi="仿宋" w:eastAsia="仿宋"/>
          <w:color w:val="auto"/>
          <w:sz w:val="32"/>
          <w:szCs w:val="32"/>
          <w:highlight w:val="none"/>
          <w:lang w:val="en-US" w:eastAsia="zh-CN"/>
        </w:rPr>
        <w:t>6万元，占0.64</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b/>
          <w:color w:val="auto"/>
          <w:sz w:val="32"/>
          <w:szCs w:val="32"/>
          <w:highlight w:val="none"/>
          <w:lang w:eastAsia="zh-CN"/>
        </w:rPr>
        <w:t>社会保障和就业（类）支出</w:t>
      </w:r>
      <w:r>
        <w:rPr>
          <w:rFonts w:hint="eastAsia" w:ascii="仿宋" w:hAnsi="仿宋" w:eastAsia="仿宋"/>
          <w:color w:val="auto"/>
          <w:sz w:val="32"/>
          <w:szCs w:val="32"/>
          <w:highlight w:val="none"/>
          <w:lang w:val="en-US" w:eastAsia="zh-CN"/>
        </w:rPr>
        <w:t>58.56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s="仿宋_GB2312"/>
          <w:b/>
          <w:bCs/>
          <w:color w:val="auto"/>
          <w:sz w:val="32"/>
          <w:szCs w:val="32"/>
          <w:highlight w:val="none"/>
        </w:rPr>
        <w:t>卫生</w:t>
      </w:r>
      <w:r>
        <w:rPr>
          <w:rFonts w:hint="eastAsia" w:ascii="仿宋_GB2312" w:hAnsi="仿宋_GB2312" w:eastAsia="仿宋_GB2312" w:cs="仿宋_GB2312"/>
          <w:b/>
          <w:bCs/>
          <w:color w:val="auto"/>
          <w:sz w:val="32"/>
          <w:szCs w:val="32"/>
          <w:highlight w:val="none"/>
          <w:lang w:eastAsia="zh-CN"/>
        </w:rPr>
        <w:t>健康</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14.76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城乡社区支出</w:t>
      </w:r>
      <w:r>
        <w:rPr>
          <w:rFonts w:hint="eastAsia" w:ascii="仿宋_GB2312" w:hAnsi="仿宋_GB2312" w:eastAsia="仿宋_GB2312" w:cs="仿宋_GB2312"/>
          <w:b/>
          <w:bCs/>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3.22%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color w:val="auto"/>
          <w:sz w:val="32"/>
          <w:szCs w:val="32"/>
          <w:highlight w:val="none"/>
          <w:lang w:val="en-US" w:eastAsia="zh-CN"/>
        </w:rPr>
        <w:t>171.49万元，占18.42%；</w:t>
      </w:r>
      <w:r>
        <w:rPr>
          <w:rFonts w:hint="eastAsia" w:ascii="仿宋_GB2312" w:hAnsi="仿宋_GB2312" w:eastAsia="仿宋_GB2312" w:cs="仿宋_GB2312"/>
          <w:b/>
          <w:bCs/>
          <w:color w:val="auto"/>
          <w:sz w:val="32"/>
          <w:szCs w:val="32"/>
          <w:highlight w:val="none"/>
          <w:lang w:val="en-US" w:eastAsia="zh-CN"/>
        </w:rPr>
        <w:t>资源勘探工业信息等支出</w:t>
      </w:r>
      <w:r>
        <w:rPr>
          <w:rFonts w:hint="eastAsia" w:ascii="仿宋_GB2312" w:hAnsi="仿宋_GB2312" w:eastAsia="仿宋_GB2312" w:cs="仿宋_GB2312"/>
          <w:color w:val="auto"/>
          <w:sz w:val="32"/>
          <w:szCs w:val="32"/>
          <w:highlight w:val="none"/>
          <w:lang w:val="en-US" w:eastAsia="zh-CN"/>
        </w:rPr>
        <w:t>50万元，占5.37%；</w:t>
      </w:r>
      <w:r>
        <w:rPr>
          <w:rFonts w:hint="eastAsia" w:ascii="仿宋_GB2312" w:hAnsi="仿宋_GB2312" w:eastAsia="仿宋_GB2312" w:cs="仿宋_GB2312"/>
          <w:b/>
          <w:bCs/>
          <w:color w:val="auto"/>
          <w:sz w:val="32"/>
          <w:szCs w:val="32"/>
          <w:highlight w:val="none"/>
          <w:lang w:val="en-US" w:eastAsia="zh-CN"/>
        </w:rPr>
        <w:t>住房保障支出</w:t>
      </w:r>
      <w:r>
        <w:rPr>
          <w:rFonts w:hint="eastAsia" w:ascii="仿宋_GB2312" w:hAnsi="仿宋_GB2312" w:eastAsia="仿宋_GB2312" w:cs="仿宋_GB2312"/>
          <w:color w:val="auto"/>
          <w:sz w:val="32"/>
          <w:szCs w:val="32"/>
          <w:highlight w:val="none"/>
          <w:lang w:val="en-US" w:eastAsia="zh-CN"/>
        </w:rPr>
        <w:t>29.91万元，占3.21%；</w:t>
      </w:r>
      <w:r>
        <w:rPr>
          <w:rFonts w:hint="eastAsia" w:ascii="仿宋_GB2312" w:hAnsi="仿宋_GB2312" w:eastAsia="仿宋_GB2312" w:cs="仿宋_GB2312"/>
          <w:b/>
          <w:bCs/>
          <w:color w:val="auto"/>
          <w:sz w:val="32"/>
          <w:szCs w:val="32"/>
          <w:highlight w:val="none"/>
          <w:lang w:val="en-US" w:eastAsia="zh-CN"/>
        </w:rPr>
        <w:t>灾害防治及应急管理支出</w:t>
      </w:r>
      <w:r>
        <w:rPr>
          <w:rFonts w:hint="eastAsia" w:ascii="仿宋_GB2312" w:hAnsi="仿宋_GB2312" w:eastAsia="仿宋_GB2312" w:cs="仿宋_GB2312"/>
          <w:color w:val="auto"/>
          <w:sz w:val="32"/>
          <w:szCs w:val="32"/>
          <w:highlight w:val="none"/>
          <w:lang w:val="en-US" w:eastAsia="zh-CN"/>
        </w:rPr>
        <w:t>2万元，占0.21%</w:t>
      </w:r>
      <w:r>
        <w:rPr>
          <w:rFonts w:hint="eastAsia" w:ascii="仿宋" w:hAnsi="仿宋" w:eastAsia="仿宋"/>
          <w:b/>
          <w:color w:val="auto"/>
          <w:sz w:val="32"/>
          <w:szCs w:val="32"/>
          <w:highlight w:val="none"/>
          <w:lang w:eastAsia="zh-CN"/>
        </w:rPr>
        <w:t>。</w:t>
      </w:r>
    </w:p>
    <w:p>
      <w:pPr>
        <w:spacing w:line="600" w:lineRule="exact"/>
        <w:ind w:firstLine="643" w:firstLineChars="200"/>
        <w:outlineLvl w:val="2"/>
        <w:rPr>
          <w:rFonts w:hint="eastAsia" w:ascii="仿宋" w:hAnsi="仿宋" w:eastAsia="仿宋"/>
          <w:b/>
          <w:color w:val="auto"/>
          <w:sz w:val="32"/>
          <w:szCs w:val="32"/>
          <w:highlight w:val="none"/>
        </w:rPr>
      </w:pPr>
      <w:bookmarkStart w:id="30" w:name="_Toc15377212"/>
    </w:p>
    <w:bookmarkEnd w:id="30"/>
    <w:p>
      <w:pPr>
        <w:spacing w:line="600" w:lineRule="exact"/>
        <w:jc w:val="left"/>
        <w:outlineLvl w:val="2"/>
        <w:rPr>
          <w:rFonts w:hint="eastAsia" w:ascii="仿宋" w:hAnsi="仿宋" w:eastAsia="仿宋"/>
          <w:b/>
          <w:color w:val="auto"/>
          <w:sz w:val="32"/>
          <w:szCs w:val="32"/>
          <w:highlight w:val="none"/>
        </w:rPr>
      </w:pPr>
      <w:bookmarkStart w:id="31" w:name="_Toc15377213"/>
      <w:bookmarkStart w:id="32" w:name="_Toc15378460"/>
      <w:bookmarkStart w:id="33" w:name="_Toc15377444"/>
    </w:p>
    <w:p>
      <w:pPr>
        <w:spacing w:line="600" w:lineRule="exact"/>
        <w:ind w:firstLine="640" w:firstLineChars="200"/>
        <w:rPr>
          <w:rFonts w:hint="default"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-203835</wp:posOffset>
            </wp:positionH>
            <wp:positionV relativeFrom="paragraph">
              <wp:posOffset>321945</wp:posOffset>
            </wp:positionV>
            <wp:extent cx="5944235" cy="4086225"/>
            <wp:effectExtent l="4445" t="4445" r="13970"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pPr>
        <w:spacing w:line="600" w:lineRule="exact"/>
        <w:ind w:firstLine="964" w:firstLineChars="300"/>
        <w:jc w:val="left"/>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931.06</w:t>
      </w:r>
      <w:r>
        <w:rPr>
          <w:rFonts w:hint="default"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lang w:eastAsia="zh-CN"/>
        </w:rPr>
        <w:t>政府办公厅及相关机构事务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lang w:eastAsia="zh-CN"/>
        </w:rPr>
        <w:t>行政运行</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312.88万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rPr>
        <w:t>2.</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lang w:eastAsia="zh-CN"/>
        </w:rPr>
        <w:t>政府办公厅及相关机构事务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lang w:eastAsia="zh-CN"/>
        </w:rPr>
        <w:t>一般行政管理事务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80.72万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rPr>
        <w:t>3.</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lang w:eastAsia="zh-CN"/>
        </w:rPr>
        <w:t>政府办公厅及相关机构事务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lang w:eastAsia="zh-CN"/>
        </w:rPr>
        <w:t>机关服务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27.08万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rPr>
        <w:t>4.</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201纪检监察事务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11一般行政管理事务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rPr>
        <w:t>5.</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201商贸事务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13其他商贸事务支出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12万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6.</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lang w:eastAsia="zh-CN"/>
        </w:rPr>
        <w:t>组织事务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32</w:t>
      </w:r>
      <w:r>
        <w:rPr>
          <w:rStyle w:val="19"/>
          <w:rFonts w:hint="eastAsia" w:ascii="仿宋" w:hAnsi="仿宋" w:eastAsia="仿宋"/>
          <w:bCs/>
          <w:color w:val="auto"/>
          <w:sz w:val="32"/>
          <w:szCs w:val="32"/>
          <w:highlight w:val="none"/>
          <w:lang w:eastAsia="zh-CN"/>
        </w:rPr>
        <w:t>一般行政管理事务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pStyle w:val="2"/>
        <w:ind w:left="0" w:leftChars="0"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201信访事务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40其他信访</w:t>
      </w:r>
      <w:r>
        <w:rPr>
          <w:rStyle w:val="19"/>
          <w:rFonts w:hint="eastAsia" w:ascii="仿宋" w:hAnsi="仿宋" w:eastAsia="仿宋"/>
          <w:bCs/>
          <w:color w:val="auto"/>
          <w:sz w:val="32"/>
          <w:szCs w:val="32"/>
          <w:highlight w:val="none"/>
          <w:lang w:eastAsia="zh-CN"/>
        </w:rPr>
        <w:t>事务</w:t>
      </w:r>
      <w:r>
        <w:rPr>
          <w:rStyle w:val="19"/>
          <w:rFonts w:hint="eastAsia" w:ascii="仿宋" w:hAnsi="仿宋" w:eastAsia="仿宋"/>
          <w:bCs/>
          <w:color w:val="auto"/>
          <w:sz w:val="32"/>
          <w:szCs w:val="32"/>
          <w:highlight w:val="none"/>
          <w:lang w:val="en-US" w:eastAsia="zh-CN"/>
        </w:rPr>
        <w:t>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25.67万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pStyle w:val="2"/>
        <w:ind w:left="0" w:leftChars="0" w:firstLine="643" w:firstLineChars="2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lang w:val="en-US" w:eastAsia="zh-CN"/>
        </w:rPr>
        <w:t>8.</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201其他一般公共服务支出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99其他一般公共服务支出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103万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r>
        <w:rPr>
          <w:rStyle w:val="19"/>
          <w:rFonts w:hint="eastAsia" w:ascii="仿宋" w:hAnsi="仿宋" w:eastAsia="仿宋"/>
          <w:b w:val="0"/>
          <w:bCs/>
          <w:color w:val="auto"/>
          <w:sz w:val="32"/>
          <w:szCs w:val="32"/>
          <w:highlight w:val="none"/>
          <w:lang w:eastAsia="zh-CN"/>
        </w:rPr>
        <w:t>。</w:t>
      </w:r>
    </w:p>
    <w:p>
      <w:pPr>
        <w:pStyle w:val="2"/>
        <w:ind w:left="0" w:leftChars="0" w:firstLine="643" w:firstLineChars="2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lang w:val="en-US" w:eastAsia="zh-CN"/>
        </w:rPr>
        <w:t>9.国防支出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203其他国防支出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99其他国防支出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pStyle w:val="2"/>
        <w:ind w:left="0" w:leftChars="0" w:firstLine="643" w:firstLineChars="200"/>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10.公共安全支出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204国家安全</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03其他国家安全支出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pStyle w:val="2"/>
        <w:ind w:left="0" w:leftChars="0"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12.</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lang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05行政单位离退休</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12.6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13</w:t>
      </w:r>
      <w:r>
        <w:rPr>
          <w:rStyle w:val="19"/>
          <w:rFonts w:hint="default"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lang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lang w:eastAsia="zh-CN"/>
        </w:rPr>
        <w:t>机关事业单位基本养老保险缴费支出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34.72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default" w:ascii="仿宋" w:hAnsi="仿宋" w:eastAsia="仿宋"/>
          <w:bCs/>
          <w:color w:val="auto"/>
          <w:sz w:val="32"/>
          <w:szCs w:val="32"/>
          <w:highlight w:val="none"/>
        </w:rPr>
        <w:t>1</w:t>
      </w:r>
      <w:r>
        <w:rPr>
          <w:rStyle w:val="19"/>
          <w:rFonts w:hint="eastAsia" w:ascii="仿宋" w:hAnsi="仿宋" w:eastAsia="仿宋"/>
          <w:bCs/>
          <w:color w:val="auto"/>
          <w:sz w:val="32"/>
          <w:szCs w:val="32"/>
          <w:highlight w:val="none"/>
          <w:lang w:val="en-US" w:eastAsia="zh-CN"/>
        </w:rPr>
        <w:t>4</w:t>
      </w:r>
      <w:r>
        <w:rPr>
          <w:rStyle w:val="19"/>
          <w:rFonts w:hint="default"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lang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lang w:eastAsia="zh-CN"/>
        </w:rPr>
        <w:t>机关事业单位职业年金缴费支出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06：</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11.24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numPr>
          <w:ilvl w:val="0"/>
          <w:numId w:val="0"/>
        </w:num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lang w:eastAsia="zh-CN"/>
        </w:rPr>
        <w:t>1</w:t>
      </w:r>
      <w:r>
        <w:rPr>
          <w:rStyle w:val="19"/>
          <w:rFonts w:hint="eastAsia" w:ascii="仿宋" w:hAnsi="仿宋" w:eastAsia="仿宋"/>
          <w:bCs/>
          <w:color w:val="auto"/>
          <w:sz w:val="32"/>
          <w:szCs w:val="32"/>
          <w:highlight w:val="none"/>
          <w:lang w:val="en-US" w:eastAsia="zh-CN"/>
        </w:rPr>
        <w:t>5.</w:t>
      </w:r>
      <w:r>
        <w:rPr>
          <w:rStyle w:val="19"/>
          <w:rFonts w:hint="eastAsia" w:ascii="仿宋" w:hAnsi="仿宋" w:eastAsia="仿宋"/>
          <w:bCs/>
          <w:color w:val="auto"/>
          <w:sz w:val="32"/>
          <w:szCs w:val="32"/>
          <w:highlight w:val="none"/>
        </w:rPr>
        <w:t>卫生</w:t>
      </w:r>
      <w:r>
        <w:rPr>
          <w:rStyle w:val="19"/>
          <w:rFonts w:hint="eastAsia" w:ascii="仿宋" w:hAnsi="仿宋" w:eastAsia="仿宋"/>
          <w:bCs/>
          <w:color w:val="auto"/>
          <w:sz w:val="32"/>
          <w:szCs w:val="32"/>
          <w:highlight w:val="none"/>
          <w:lang w:eastAsia="zh-CN"/>
        </w:rPr>
        <w:t>健康支出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210行政事业单位医疗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14.76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lang w:eastAsia="zh-CN"/>
        </w:rPr>
        <w:t>1</w:t>
      </w:r>
      <w:r>
        <w:rPr>
          <w:rStyle w:val="19"/>
          <w:rFonts w:hint="eastAsia" w:ascii="仿宋" w:hAnsi="仿宋" w:eastAsia="仿宋"/>
          <w:bCs/>
          <w:color w:val="auto"/>
          <w:sz w:val="32"/>
          <w:szCs w:val="32"/>
          <w:highlight w:val="none"/>
          <w:lang w:val="en-US" w:eastAsia="zh-CN"/>
        </w:rPr>
        <w:t>6.</w:t>
      </w:r>
      <w:r>
        <w:rPr>
          <w:rStyle w:val="19"/>
          <w:rFonts w:hint="eastAsia" w:ascii="仿宋" w:hAnsi="仿宋" w:eastAsia="仿宋"/>
          <w:bCs/>
          <w:color w:val="auto"/>
          <w:sz w:val="32"/>
          <w:szCs w:val="32"/>
          <w:highlight w:val="none"/>
          <w:lang w:eastAsia="zh-CN"/>
        </w:rPr>
        <w:t>城乡社区支出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212城乡社区环境卫生</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05城乡社区环境卫生</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pStyle w:val="2"/>
        <w:ind w:left="0" w:leftChars="0"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17.</w:t>
      </w:r>
      <w:r>
        <w:rPr>
          <w:rStyle w:val="19"/>
          <w:rFonts w:hint="eastAsia" w:ascii="仿宋" w:hAnsi="仿宋" w:eastAsia="仿宋"/>
          <w:bCs/>
          <w:color w:val="auto"/>
          <w:sz w:val="32"/>
          <w:szCs w:val="32"/>
          <w:highlight w:val="none"/>
          <w:lang w:eastAsia="zh-CN"/>
        </w:rPr>
        <w:t>农林水支出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213水利</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03防汛</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14：</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pStyle w:val="2"/>
        <w:ind w:left="0" w:leftChars="0"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18.</w:t>
      </w:r>
      <w:r>
        <w:rPr>
          <w:rStyle w:val="19"/>
          <w:rFonts w:hint="eastAsia" w:ascii="仿宋" w:hAnsi="仿宋" w:eastAsia="仿宋"/>
          <w:bCs/>
          <w:color w:val="auto"/>
          <w:sz w:val="32"/>
          <w:szCs w:val="32"/>
          <w:highlight w:val="none"/>
          <w:lang w:eastAsia="zh-CN"/>
        </w:rPr>
        <w:t>农林水支出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213巩固脱贫攻坚成果衔接乡村振兴</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05其他巩固脱贫攻坚成果衔接乡村振兴支出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lang w:eastAsia="zh-CN"/>
        </w:rPr>
        <w:t>1</w:t>
      </w:r>
      <w:r>
        <w:rPr>
          <w:rStyle w:val="19"/>
          <w:rFonts w:hint="eastAsia" w:ascii="仿宋" w:hAnsi="仿宋" w:eastAsia="仿宋"/>
          <w:bCs/>
          <w:color w:val="auto"/>
          <w:sz w:val="32"/>
          <w:szCs w:val="32"/>
          <w:highlight w:val="none"/>
          <w:lang w:val="en-US" w:eastAsia="zh-CN"/>
        </w:rPr>
        <w:t>9.</w:t>
      </w:r>
      <w:r>
        <w:rPr>
          <w:rStyle w:val="19"/>
          <w:rFonts w:hint="eastAsia" w:ascii="仿宋" w:hAnsi="仿宋" w:eastAsia="仿宋"/>
          <w:bCs/>
          <w:color w:val="auto"/>
          <w:sz w:val="32"/>
          <w:szCs w:val="32"/>
          <w:highlight w:val="none"/>
          <w:lang w:eastAsia="zh-CN"/>
        </w:rPr>
        <w:t>农林水支出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213农村综合改革</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07对村民委员会和党支部的补助</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167.47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420" w:firstLineChars="200"/>
        <w:rPr>
          <w:rStyle w:val="19"/>
          <w:rFonts w:hint="eastAsia" w:ascii="仿宋" w:hAnsi="仿宋" w:eastAsia="仿宋"/>
          <w:b w:val="0"/>
          <w:bCs/>
          <w:color w:val="auto"/>
          <w:sz w:val="32"/>
          <w:szCs w:val="32"/>
          <w:highlight w:val="none"/>
        </w:rPr>
      </w:pPr>
      <w:r>
        <w:rPr>
          <w:rFonts w:hint="eastAsia" w:eastAsia="仿宋"/>
          <w:color w:val="auto"/>
          <w:highlight w:val="none"/>
          <w:lang w:val="en-US" w:eastAsia="zh-CN"/>
        </w:rPr>
        <w:t xml:space="preserve">  </w:t>
      </w:r>
      <w:r>
        <w:rPr>
          <w:rStyle w:val="19"/>
          <w:rFonts w:hint="eastAsia" w:ascii="仿宋" w:hAnsi="仿宋" w:eastAsia="仿宋"/>
          <w:bCs/>
          <w:color w:val="auto"/>
          <w:sz w:val="32"/>
          <w:szCs w:val="32"/>
          <w:highlight w:val="none"/>
          <w:lang w:val="en-US" w:eastAsia="zh-CN"/>
        </w:rPr>
        <w:t>20.资源勘探工业信息等</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215建筑业</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03其他建筑业支出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pStyle w:val="2"/>
        <w:ind w:left="0" w:leftChars="0"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21.</w:t>
      </w:r>
      <w:r>
        <w:rPr>
          <w:rStyle w:val="19"/>
          <w:rFonts w:hint="eastAsia" w:ascii="仿宋" w:hAnsi="仿宋" w:eastAsia="仿宋"/>
          <w:bCs/>
          <w:color w:val="auto"/>
          <w:sz w:val="32"/>
          <w:szCs w:val="32"/>
          <w:highlight w:val="none"/>
          <w:lang w:eastAsia="zh-CN"/>
        </w:rPr>
        <w:t>住房保障支出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221住房改革支出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02公住房公积金</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29.91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pStyle w:val="2"/>
        <w:ind w:left="0" w:leftChars="0" w:firstLine="420" w:firstLineChars="200"/>
        <w:rPr>
          <w:rStyle w:val="19"/>
          <w:rFonts w:hint="eastAsia" w:ascii="仿宋" w:hAnsi="仿宋" w:eastAsia="仿宋"/>
          <w:bCs/>
          <w:color w:val="auto"/>
          <w:sz w:val="32"/>
          <w:szCs w:val="32"/>
          <w:highlight w:val="none"/>
          <w:lang w:eastAsia="zh-CN"/>
        </w:rPr>
      </w:pPr>
      <w:r>
        <w:rPr>
          <w:rFonts w:hint="eastAsia"/>
          <w:color w:val="auto"/>
          <w:highlight w:val="none"/>
          <w:lang w:val="en-US" w:eastAsia="zh-CN"/>
        </w:rPr>
        <w:t xml:space="preserve">  </w:t>
      </w:r>
      <w:r>
        <w:rPr>
          <w:rStyle w:val="19"/>
          <w:rFonts w:hint="eastAsia" w:ascii="仿宋" w:hAnsi="仿宋" w:eastAsia="仿宋"/>
          <w:bCs/>
          <w:color w:val="auto"/>
          <w:sz w:val="32"/>
          <w:szCs w:val="32"/>
          <w:highlight w:val="none"/>
          <w:lang w:val="en-US" w:eastAsia="zh-CN"/>
        </w:rPr>
        <w:t>22.</w:t>
      </w:r>
      <w:r>
        <w:rPr>
          <w:rStyle w:val="19"/>
          <w:rFonts w:hint="eastAsia" w:ascii="仿宋" w:hAnsi="仿宋" w:eastAsia="仿宋"/>
          <w:bCs/>
          <w:color w:val="auto"/>
          <w:sz w:val="32"/>
          <w:szCs w:val="32"/>
          <w:highlight w:val="none"/>
          <w:lang w:eastAsia="zh-CN"/>
        </w:rPr>
        <w:t>灾害防治及应急管理支出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224应急管理事务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01其他应急管理支出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tabs>
          <w:tab w:val="right" w:pos="8306"/>
        </w:tabs>
        <w:spacing w:line="600" w:lineRule="exact"/>
        <w:ind w:firstLine="640"/>
        <w:outlineLvl w:val="1"/>
        <w:rPr>
          <w:rStyle w:val="22"/>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34"/>
      <w:bookmarkEnd w:id="35"/>
      <w:r>
        <w:rPr>
          <w:rStyle w:val="22"/>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416.1</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359.18</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130.73万元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29.16万元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86.21万元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34.72万元</w:t>
      </w:r>
      <w:r>
        <w:rPr>
          <w:rFonts w:hint="eastAsia" w:ascii="仿宋" w:hAnsi="仿宋" w:eastAsia="仿宋"/>
          <w:color w:val="auto"/>
          <w:sz w:val="32"/>
          <w:szCs w:val="32"/>
          <w:highlight w:val="none"/>
        </w:rPr>
        <w:t>、职业年金缴费</w:t>
      </w:r>
      <w:r>
        <w:rPr>
          <w:rFonts w:hint="eastAsia" w:ascii="仿宋" w:hAnsi="仿宋" w:eastAsia="仿宋"/>
          <w:color w:val="auto"/>
          <w:sz w:val="32"/>
          <w:szCs w:val="32"/>
          <w:highlight w:val="none"/>
          <w:lang w:val="en-US" w:eastAsia="zh-CN"/>
        </w:rPr>
        <w:t>11.24万元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职工基本医疗保险缴费14.76万元、</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0.85万元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29.91万元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9万元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12.6万元</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56.92</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7.68万元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1.73万元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咨询费0.89、</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1.22万元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2.95万元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4.72万元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12.62万元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3.19万元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专用燃料费0.2万元、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2.1万元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8.37万元</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2.42万元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val="en-US" w:eastAsia="zh-CN"/>
        </w:rPr>
        <w:t>用7.62万元、其他商品和服务支出0.92万元</w:t>
      </w:r>
      <w:r>
        <w:rPr>
          <w:rFonts w:hint="eastAsia" w:ascii="仿宋" w:hAnsi="仿宋" w:eastAsia="仿宋"/>
          <w:color w:val="auto"/>
          <w:sz w:val="32"/>
          <w:szCs w:val="32"/>
          <w:highlight w:val="none"/>
        </w:rPr>
        <w:t>。</w:t>
      </w:r>
    </w:p>
    <w:p>
      <w:pPr>
        <w:spacing w:line="600" w:lineRule="exact"/>
        <w:ind w:firstLine="640"/>
        <w:outlineLvl w:val="1"/>
        <w:rPr>
          <w:rStyle w:val="22"/>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减少0.9万元，下降100%。决算数小于预算数，主要原因是公务接待活动减少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448050" cy="2832735"/>
            <wp:effectExtent l="4445" t="4445" r="6985" b="1270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lang w:val="en-US" w:eastAsia="zh-CN"/>
        </w:rPr>
        <w:t>年初未安排预算</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9"/>
          <w:rFonts w:hint="eastAsia" w:ascii="仿宋" w:hAnsi="仿宋" w:eastAsia="仿宋"/>
          <w:b w:val="0"/>
          <w:bCs/>
          <w:color w:val="auto"/>
          <w:sz w:val="32"/>
          <w:szCs w:val="32"/>
          <w:highlight w:val="none"/>
          <w:lang w:val="en-US" w:eastAsia="zh-CN"/>
        </w:rPr>
        <w:t>年初未安排预算</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pPr>
        <w:spacing w:line="600" w:lineRule="exact"/>
        <w:ind w:firstLine="640" w:firstLineChars="200"/>
        <w:rPr>
          <w:rFonts w:hint="default"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，未购置公务用车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default"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下降100 %。</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无接待支出</w:t>
      </w:r>
      <w:r>
        <w:rPr>
          <w:rFonts w:hint="eastAsia" w:ascii="仿宋" w:hAnsi="仿宋" w:eastAsia="仿宋"/>
          <w:color w:val="auto"/>
          <w:sz w:val="32"/>
          <w:szCs w:val="32"/>
          <w:highlight w:val="none"/>
        </w:rPr>
        <w:t>。</w:t>
      </w:r>
      <w:r>
        <w:rPr>
          <w:rFonts w:hint="eastAsia" w:ascii="仿宋_GB2312" w:eastAsia="仿宋_GB2312"/>
          <w:b w:val="0"/>
          <w:bCs w:val="0"/>
          <w:color w:val="auto"/>
          <w:sz w:val="32"/>
          <w:szCs w:val="32"/>
          <w:highlight w:val="none"/>
          <w:lang w:val="en-US" w:eastAsia="zh-CN"/>
        </w:rPr>
        <w:t>其中</w:t>
      </w:r>
      <w:r>
        <w:rPr>
          <w:rFonts w:hint="eastAsia" w:ascii="仿宋_GB2312" w:eastAsia="仿宋_GB2312"/>
          <w:b w:val="0"/>
          <w:bCs w:val="0"/>
          <w:color w:val="auto"/>
          <w:sz w:val="32"/>
          <w:szCs w:val="32"/>
          <w:highlight w:val="none"/>
        </w:rPr>
        <w:t>：</w:t>
      </w:r>
    </w:p>
    <w:p>
      <w:pPr>
        <w:spacing w:line="600" w:lineRule="exact"/>
        <w:ind w:firstLine="643" w:firstLineChars="200"/>
        <w:jc w:val="left"/>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default" w:ascii="仿宋_GB2312" w:eastAsia="仿宋_GB2312"/>
          <w:color w:val="auto"/>
          <w:sz w:val="32"/>
          <w:szCs w:val="32"/>
          <w:highlight w:val="none"/>
        </w:rPr>
        <w:t>。</w:t>
      </w: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jc w:val="left"/>
        <w:outlineLvl w:val="1"/>
        <w:rPr>
          <w:rStyle w:val="22"/>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40"/>
      <w:bookmarkEnd w:id="41"/>
    </w:p>
    <w:p>
      <w:pPr>
        <w:spacing w:line="600" w:lineRule="exact"/>
        <w:ind w:firstLine="640"/>
        <w:jc w:val="left"/>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109.12</w:t>
      </w:r>
      <w:r>
        <w:rPr>
          <w:rFonts w:hint="eastAsia" w:ascii="仿宋_GB2312" w:eastAsia="仿宋_GB2312"/>
          <w:color w:val="auto"/>
          <w:sz w:val="32"/>
          <w:szCs w:val="32"/>
          <w:highlight w:val="none"/>
        </w:rPr>
        <w:t>万元。</w:t>
      </w:r>
    </w:p>
    <w:p>
      <w:pPr>
        <w:numPr>
          <w:ilvl w:val="0"/>
          <w:numId w:val="3"/>
        </w:numPr>
        <w:spacing w:line="600" w:lineRule="exact"/>
        <w:ind w:firstLine="640"/>
        <w:jc w:val="left"/>
        <w:outlineLvl w:val="1"/>
        <w:rPr>
          <w:rStyle w:val="22"/>
          <w:rFonts w:ascii="黑体" w:hAnsi="黑体" w:eastAsia="黑体"/>
          <w:b w:val="0"/>
          <w:color w:val="auto"/>
          <w:highlight w:val="none"/>
        </w:rPr>
      </w:pPr>
      <w:bookmarkStart w:id="42" w:name="_Toc15396611"/>
      <w:bookmarkStart w:id="43" w:name="_Toc15377219"/>
      <w:r>
        <w:rPr>
          <w:rStyle w:val="22"/>
          <w:rFonts w:hint="eastAsia" w:ascii="黑体" w:hAnsi="黑体" w:eastAsia="黑体"/>
          <w:b w:val="0"/>
          <w:color w:val="auto"/>
          <w:highlight w:val="none"/>
        </w:rPr>
        <w:t>国有资本经营预算支出决算情况说明</w:t>
      </w:r>
      <w:bookmarkEnd w:id="42"/>
      <w:bookmarkEnd w:id="43"/>
    </w:p>
    <w:p>
      <w:pPr>
        <w:spacing w:line="600" w:lineRule="exact"/>
        <w:ind w:firstLine="640"/>
        <w:jc w:val="left"/>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jc w:val="left"/>
        <w:outlineLvl w:val="1"/>
        <w:rPr>
          <w:rStyle w:val="22"/>
          <w:rFonts w:hint="eastAsia" w:ascii="黑体" w:hAnsi="黑体" w:eastAsia="黑体"/>
          <w:b w:val="0"/>
          <w:color w:val="auto"/>
          <w:highlight w:val="none"/>
        </w:rPr>
      </w:pPr>
      <w:bookmarkStart w:id="44" w:name="_Toc15396612"/>
      <w:bookmarkStart w:id="45" w:name="_Toc15377221"/>
      <w:r>
        <w:rPr>
          <w:rStyle w:val="22"/>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袁家坝办事处</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56.92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减少222.23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增加79.58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村社区办公经费纳入项目支出核算。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袁家坝办事处</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袁家坝办事处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numPr>
          <w:ilvl w:val="0"/>
          <w:numId w:val="0"/>
        </w:numPr>
        <w:spacing w:line="600" w:lineRule="exact"/>
        <w:ind w:firstLine="640" w:firstLineChars="200"/>
        <w:outlineLvl w:val="1"/>
        <w:rPr>
          <w:rFonts w:hint="eastAsia"/>
          <w:color w:val="auto"/>
          <w:highlight w:val="none"/>
          <w:lang w:eastAsia="zh-CN"/>
        </w:rPr>
      </w:pPr>
      <w:bookmarkStart w:id="49" w:name="_Toc452"/>
      <w:bookmarkStart w:id="50" w:name="_Toc16278"/>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组织对袁家坝综治维稳工作经费项目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袁家坝铝产业园指挥部经费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形成袁家坝办事处</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其中，袁家坝办事处部门整体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绩效自评得分为94.45分，绩效自评综述</w:t>
      </w:r>
      <w:r>
        <w:rPr>
          <w:rFonts w:hint="eastAsia" w:ascii="仿宋_GB2312" w:hAnsi="仿宋_GB2312" w:eastAsia="仿宋_GB2312" w:cs="仿宋_GB2312"/>
          <w:color w:val="auto"/>
          <w:sz w:val="32"/>
          <w:szCs w:val="32"/>
          <w:highlight w:val="none"/>
          <w:lang w:val="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年我单位整体支出效果良好，</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年绩效目标设置明确、预算编制较准确、项目预算执行较好</w:t>
      </w:r>
      <w:r>
        <w:rPr>
          <w:rFonts w:hint="eastAsia" w:ascii="仿宋_GB2312" w:hAnsi="仿宋_GB2312" w:eastAsia="仿宋_GB2312" w:cs="仿宋_GB2312"/>
          <w:color w:val="auto"/>
          <w:sz w:val="32"/>
          <w:szCs w:val="32"/>
          <w:highlight w:val="none"/>
          <w:lang w:val="zh-CN"/>
        </w:rPr>
        <w:t>，基本按照计划完成年度工作任务，实现了年度绩效目标，目标设置明确、预算编制较准确。预算执行过程中开展绩效监控，年终开展了绩效自评。预算绩效管理工作取得了明显成效。</w:t>
      </w:r>
      <w:r>
        <w:rPr>
          <w:rFonts w:hint="eastAsia" w:ascii="仿宋_GB2312" w:hAnsi="仿宋_GB2312" w:eastAsia="仿宋_GB2312" w:cs="仿宋_GB2312"/>
          <w:color w:val="auto"/>
          <w:sz w:val="32"/>
          <w:szCs w:val="32"/>
          <w:highlight w:val="none"/>
        </w:rPr>
        <w:t>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49"/>
      <w:bookmarkEnd w:id="50"/>
    </w:p>
    <w:p>
      <w:pPr>
        <w:spacing w:line="58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1"/>
          <w:rFonts w:ascii="黑体" w:hAnsi="黑体" w:eastAsia="黑体"/>
          <w:b w:val="0"/>
          <w:color w:val="auto"/>
          <w:highlight w:val="none"/>
        </w:rPr>
      </w:pPr>
      <w:bookmarkStart w:id="51" w:name="_Toc15377225"/>
      <w:bookmarkStart w:id="52" w:name="_Toc15396613"/>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51"/>
      <w:bookmarkEnd w:id="52"/>
    </w:p>
    <w:p>
      <w:pPr>
        <w:spacing w:line="600" w:lineRule="exact"/>
        <w:jc w:val="left"/>
        <w:rPr>
          <w:rFonts w:ascii="宋体"/>
          <w:b/>
          <w:color w:val="auto"/>
          <w:sz w:val="44"/>
          <w:szCs w:val="44"/>
          <w:highlight w:val="none"/>
        </w:rPr>
      </w:pPr>
    </w:p>
    <w:p>
      <w:pPr>
        <w:pStyle w:val="30"/>
        <w:numPr>
          <w:ilvl w:val="0"/>
          <w:numId w:val="5"/>
        </w:numPr>
        <w:spacing w:line="560" w:lineRule="exact"/>
        <w:ind w:left="2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财政拨款收入：指单位从同级财政部门取得的财政预算资金。</w:t>
      </w:r>
    </w:p>
    <w:p>
      <w:pPr>
        <w:keepNext w:val="0"/>
        <w:keepLines w:val="0"/>
        <w:widowControl/>
        <w:numPr>
          <w:ilvl w:val="0"/>
          <w:numId w:val="0"/>
        </w:numPr>
        <w:suppressLineNumbers w:val="0"/>
        <w:ind w:firstLine="320" w:firstLineChars="100"/>
        <w:jc w:val="left"/>
        <w:rPr>
          <w:color w:val="auto"/>
          <w:highlight w:val="none"/>
        </w:rPr>
      </w:pPr>
      <w:r>
        <w:rPr>
          <w:rFonts w:hint="eastAsia" w:ascii="仿宋_GB2312" w:hAnsi="仿宋_GB2312" w:eastAsia="仿宋_GB2312" w:cs="仿宋_GB2312"/>
          <w:color w:val="auto"/>
          <w:kern w:val="0"/>
          <w:sz w:val="32"/>
          <w:szCs w:val="32"/>
          <w:highlight w:val="none"/>
          <w:lang w:val="en-US" w:eastAsia="zh-CN" w:bidi="ar"/>
        </w:rPr>
        <w:t>2.一般公共服务支出（类）201政府办公厅（室）及相关机构事务（款）03行政运行（项）01：指反映行政单位（包括实行公务员管理的事业单位）的基本支出。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3.一般公共服务支出（类）201政府办公厅（室）及相关机构事务（款）03</w:t>
      </w:r>
      <w:r>
        <w:rPr>
          <w:rFonts w:hint="eastAsia" w:ascii="仿宋_GB2312" w:eastAsia="仿宋_GB2312"/>
          <w:color w:val="auto"/>
          <w:sz w:val="32"/>
          <w:szCs w:val="32"/>
          <w:highlight w:val="none"/>
        </w:rPr>
        <w:t>一般行政管理事务（项）02：指反映行政单位（包括实行公务员管理的事业单位）未单独设置项级科目的其他项目支出。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4.一般公共服务支出（类）201政府办公厅（室）及相关机构事务（款）03</w:t>
      </w:r>
      <w:r>
        <w:rPr>
          <w:rFonts w:hint="eastAsia" w:ascii="仿宋_GB2312" w:eastAsia="仿宋_GB2312"/>
          <w:color w:val="auto"/>
          <w:sz w:val="32"/>
          <w:szCs w:val="32"/>
          <w:highlight w:val="none"/>
          <w:lang w:val="en-US" w:eastAsia="zh-CN"/>
        </w:rPr>
        <w:t>机关服务</w:t>
      </w:r>
      <w:r>
        <w:rPr>
          <w:rFonts w:hint="eastAsia" w:ascii="仿宋_GB2312" w:eastAsia="仿宋_GB2312"/>
          <w:color w:val="auto"/>
          <w:sz w:val="32"/>
          <w:szCs w:val="32"/>
          <w:highlight w:val="none"/>
        </w:rPr>
        <w:t>（项）0</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反映为行政单位（包括实行公务员管理的事业单位）提供后勤服务的各类后勤服务中心、医务室等附属事业单位的支出</w:t>
      </w:r>
      <w:r>
        <w:rPr>
          <w:rFonts w:hint="eastAsia" w:ascii="仿宋_GB2312" w:eastAsia="仿宋_GB2312"/>
          <w:color w:val="auto"/>
          <w:sz w:val="32"/>
          <w:szCs w:val="32"/>
          <w:highlight w:val="none"/>
        </w:rPr>
        <w:t>。</w:t>
      </w:r>
    </w:p>
    <w:p>
      <w:pPr>
        <w:pStyle w:val="2"/>
        <w:numPr>
          <w:ilvl w:val="0"/>
          <w:numId w:val="0"/>
        </w:numPr>
        <w:ind w:firstLine="320" w:firstLineChars="100"/>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5.</w:t>
      </w:r>
      <w:r>
        <w:rPr>
          <w:rFonts w:hint="eastAsia" w:ascii="仿宋_GB2312" w:hAnsi="Times New Roman" w:eastAsia="仿宋_GB2312" w:cs="Times New Roman"/>
          <w:color w:val="auto"/>
          <w:kern w:val="2"/>
          <w:sz w:val="32"/>
          <w:szCs w:val="32"/>
          <w:highlight w:val="none"/>
          <w:lang w:val="en-US" w:eastAsia="zh-CN" w:bidi="ar-SA"/>
        </w:rPr>
        <w:t>一般公共服务（类）201纪检监察事务（款）11一般行政管理事务（项）02：</w:t>
      </w:r>
      <w:r>
        <w:rPr>
          <w:rFonts w:hint="eastAsia" w:ascii="仿宋_GB2312" w:eastAsia="仿宋_GB2312" w:cs="Times New Roman"/>
          <w:color w:val="auto"/>
          <w:kern w:val="2"/>
          <w:sz w:val="32"/>
          <w:szCs w:val="32"/>
          <w:highlight w:val="none"/>
          <w:lang w:val="en-US" w:eastAsia="zh-CN" w:bidi="ar-SA"/>
        </w:rPr>
        <w:t>反映行政单位（包括实行公务员管理的事业单位）未单独设置项级科目的其他项目支出。</w:t>
      </w:r>
    </w:p>
    <w:p>
      <w:pPr>
        <w:pStyle w:val="2"/>
        <w:numPr>
          <w:ilvl w:val="0"/>
          <w:numId w:val="0"/>
        </w:numPr>
        <w:ind w:firstLine="320" w:firstLineChars="100"/>
        <w:rPr>
          <w:rFonts w:hint="default"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6.一般公共服务（类）201商贸事务（款）13其他商贸事务支出（项）99：反映除上述项目以外其他用于商贸事务方面的支出。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7.一般公共服务支出（类）201组织事务（款）32</w:t>
      </w:r>
      <w:r>
        <w:rPr>
          <w:rFonts w:hint="eastAsia" w:ascii="仿宋_GB2312" w:eastAsia="仿宋_GB2312"/>
          <w:color w:val="auto"/>
          <w:sz w:val="32"/>
          <w:szCs w:val="32"/>
          <w:highlight w:val="none"/>
        </w:rPr>
        <w:t>其 一般行政管理事务（项）</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：指反映</w:t>
      </w:r>
      <w:r>
        <w:rPr>
          <w:rFonts w:hint="eastAsia" w:ascii="仿宋_GB2312" w:eastAsia="仿宋_GB2312"/>
          <w:color w:val="auto"/>
          <w:sz w:val="32"/>
          <w:szCs w:val="32"/>
          <w:highlight w:val="none"/>
          <w:lang w:eastAsia="zh-CN"/>
        </w:rPr>
        <w:t>行政单位（包括实行公务员管理的事业单位）未单独设置顶级科目的去他项目支出</w:t>
      </w:r>
      <w:r>
        <w:rPr>
          <w:rFonts w:hint="eastAsia" w:ascii="仿宋_GB2312" w:eastAsia="仿宋_GB2312"/>
          <w:color w:val="auto"/>
          <w:sz w:val="32"/>
          <w:szCs w:val="32"/>
          <w:highlight w:val="none"/>
        </w:rPr>
        <w:t>。</w:t>
      </w:r>
    </w:p>
    <w:p>
      <w:pPr>
        <w:pStyle w:val="2"/>
        <w:numPr>
          <w:ilvl w:val="0"/>
          <w:numId w:val="0"/>
        </w:numPr>
        <w:ind w:firstLine="320" w:firstLineChars="100"/>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8.</w:t>
      </w:r>
      <w:r>
        <w:rPr>
          <w:rFonts w:hint="eastAsia" w:ascii="仿宋_GB2312" w:hAnsi="Times New Roman" w:eastAsia="仿宋_GB2312" w:cs="Times New Roman"/>
          <w:color w:val="auto"/>
          <w:kern w:val="2"/>
          <w:sz w:val="32"/>
          <w:szCs w:val="32"/>
          <w:highlight w:val="none"/>
          <w:lang w:val="en-US" w:eastAsia="zh-CN" w:bidi="ar-SA"/>
        </w:rPr>
        <w:t>一般公共服务（类）201信访事务（款）40其他信访事务支出（项）99</w:t>
      </w:r>
      <w:r>
        <w:rPr>
          <w:rFonts w:hint="eastAsia" w:ascii="仿宋_GB2312" w:eastAsia="仿宋_GB2312" w:cs="Times New Roman"/>
          <w:color w:val="auto"/>
          <w:kern w:val="2"/>
          <w:sz w:val="32"/>
          <w:szCs w:val="32"/>
          <w:highlight w:val="none"/>
          <w:lang w:val="en-US" w:eastAsia="zh-CN" w:bidi="ar-SA"/>
        </w:rPr>
        <w:t>：反映除上述项目以外的其他信访事务支出。</w:t>
      </w:r>
    </w:p>
    <w:p>
      <w:pPr>
        <w:pStyle w:val="2"/>
        <w:numPr>
          <w:ilvl w:val="0"/>
          <w:numId w:val="0"/>
        </w:numPr>
        <w:ind w:firstLine="320" w:firstLineChars="100"/>
        <w:rPr>
          <w:rFonts w:hint="default"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9.一般公共服务（类）201其他一般公共服务支出（款）99其他一般公共服务支出（项）99：反映除上述项目以外的其他一般公共服务支出。</w:t>
      </w:r>
    </w:p>
    <w:p>
      <w:pPr>
        <w:pStyle w:val="2"/>
        <w:numPr>
          <w:ilvl w:val="0"/>
          <w:numId w:val="0"/>
        </w:numPr>
        <w:ind w:firstLine="320" w:firstLineChars="100"/>
        <w:rPr>
          <w:rFonts w:hint="default" w:eastAsia="仿宋_GB2312"/>
          <w:lang w:val="en-US" w:eastAsia="zh-CN"/>
        </w:rPr>
      </w:pPr>
      <w:r>
        <w:rPr>
          <w:rFonts w:hint="eastAsia" w:ascii="仿宋_GB2312" w:eastAsia="仿宋_GB2312" w:cs="Times New Roman"/>
          <w:color w:val="auto"/>
          <w:kern w:val="2"/>
          <w:sz w:val="32"/>
          <w:szCs w:val="32"/>
          <w:highlight w:val="none"/>
          <w:lang w:val="en-US" w:eastAsia="zh-CN" w:bidi="ar-SA"/>
        </w:rPr>
        <w:t>10.</w:t>
      </w:r>
      <w:r>
        <w:rPr>
          <w:rFonts w:hint="eastAsia" w:ascii="仿宋_GB2312" w:hAnsi="Times New Roman" w:eastAsia="仿宋_GB2312" w:cs="Times New Roman"/>
          <w:color w:val="auto"/>
          <w:kern w:val="2"/>
          <w:sz w:val="32"/>
          <w:szCs w:val="32"/>
          <w:highlight w:val="none"/>
          <w:lang w:val="en-US" w:eastAsia="zh-CN" w:bidi="ar-SA"/>
        </w:rPr>
        <w:t>国防支出（类）203其他国防支出（款）99其他国防支出（项）99：</w:t>
      </w:r>
      <w:r>
        <w:rPr>
          <w:rFonts w:hint="eastAsia" w:ascii="仿宋_GB2312" w:eastAsia="仿宋_GB2312" w:cs="Times New Roman"/>
          <w:color w:val="auto"/>
          <w:kern w:val="2"/>
          <w:sz w:val="32"/>
          <w:szCs w:val="32"/>
          <w:highlight w:val="none"/>
          <w:lang w:val="en-US" w:eastAsia="zh-CN" w:bidi="ar-SA"/>
        </w:rPr>
        <w:t>反映其他用于国防方面的支出。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lang w:eastAsia="zh-CN"/>
        </w:rPr>
        <w:t>公共安全支出（类）</w:t>
      </w:r>
      <w:r>
        <w:rPr>
          <w:rFonts w:hint="eastAsia" w:ascii="仿宋_GB2312" w:eastAsia="仿宋_GB2312"/>
          <w:color w:val="auto"/>
          <w:sz w:val="32"/>
          <w:szCs w:val="32"/>
          <w:highlight w:val="none"/>
          <w:lang w:val="en-US" w:eastAsia="zh-CN"/>
        </w:rPr>
        <w:t>204国家安全（款）03</w:t>
      </w:r>
      <w:r>
        <w:rPr>
          <w:rFonts w:hint="eastAsia" w:ascii="仿宋_GB2312" w:eastAsia="仿宋_GB2312"/>
          <w:color w:val="auto"/>
          <w:sz w:val="32"/>
          <w:szCs w:val="32"/>
          <w:highlight w:val="none"/>
        </w:rPr>
        <w:t>其他国家安全支出（项）99：指反映用于安全方面的支出。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lang w:eastAsia="zh-CN"/>
        </w:rPr>
        <w:t>社会保障和就业支出（类）</w:t>
      </w:r>
      <w:r>
        <w:rPr>
          <w:rFonts w:hint="eastAsia" w:ascii="仿宋_GB2312" w:eastAsia="仿宋_GB2312"/>
          <w:color w:val="auto"/>
          <w:sz w:val="32"/>
          <w:szCs w:val="32"/>
          <w:highlight w:val="none"/>
          <w:lang w:val="en-US" w:eastAsia="zh-CN"/>
        </w:rPr>
        <w:t>208行政事业单位养老支出（款）05行政单位离退休</w:t>
      </w:r>
      <w:r>
        <w:rPr>
          <w:rFonts w:hint="eastAsia" w:ascii="仿宋_GB2312" w:eastAsia="仿宋_GB2312"/>
          <w:color w:val="auto"/>
          <w:sz w:val="32"/>
          <w:szCs w:val="32"/>
          <w:highlight w:val="none"/>
        </w:rPr>
        <w:t>（项）0</w:t>
      </w:r>
      <w:r>
        <w:rPr>
          <w:rFonts w:hint="eastAsia" w:ascii="仿宋_GB2312" w:eastAsia="仿宋_GB2312"/>
          <w:color w:val="auto"/>
          <w:sz w:val="32"/>
          <w:szCs w:val="32"/>
          <w:highlight w:val="none"/>
          <w:lang w:val="en-US" w:eastAsia="zh-CN"/>
        </w:rPr>
        <w:t>1：反映行政单位开支的离退休经费</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lang w:eastAsia="zh-CN"/>
        </w:rPr>
        <w:t>社会保障和就业支出（类）</w:t>
      </w:r>
      <w:r>
        <w:rPr>
          <w:rFonts w:hint="eastAsia" w:ascii="仿宋_GB2312" w:eastAsia="仿宋_GB2312"/>
          <w:color w:val="auto"/>
          <w:sz w:val="32"/>
          <w:szCs w:val="32"/>
          <w:highlight w:val="none"/>
          <w:lang w:val="en-US" w:eastAsia="zh-CN"/>
        </w:rPr>
        <w:t>208行政事业单位养老支出（款）05</w:t>
      </w:r>
      <w:r>
        <w:rPr>
          <w:rFonts w:hint="eastAsia" w:ascii="仿宋_GB2312" w:eastAsia="仿宋_GB2312"/>
          <w:color w:val="auto"/>
          <w:sz w:val="32"/>
          <w:szCs w:val="32"/>
          <w:highlight w:val="none"/>
        </w:rPr>
        <w:t>机关事业单位基本养老保险缴费支出（项）05：指反映机关事业单位实施养老保险制度由单位缴纳的基本养老保险费支出。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lang w:eastAsia="zh-CN"/>
        </w:rPr>
        <w:t>社会保障和就业支出（类）</w:t>
      </w:r>
      <w:r>
        <w:rPr>
          <w:rFonts w:hint="eastAsia" w:ascii="仿宋_GB2312" w:eastAsia="仿宋_GB2312"/>
          <w:color w:val="auto"/>
          <w:sz w:val="32"/>
          <w:szCs w:val="32"/>
          <w:highlight w:val="none"/>
          <w:lang w:val="en-US" w:eastAsia="zh-CN"/>
        </w:rPr>
        <w:t>208行政事业单位养老支出（款）05</w:t>
      </w:r>
      <w:r>
        <w:rPr>
          <w:rFonts w:hint="eastAsia" w:ascii="仿宋_GB2312" w:eastAsia="仿宋_GB2312"/>
          <w:color w:val="auto"/>
          <w:sz w:val="32"/>
          <w:szCs w:val="32"/>
          <w:highlight w:val="none"/>
        </w:rPr>
        <w:t>机关事业单位职业年金缴费支出（项）06：指反映机关事业单位实施养老保险制度由单位实际缴纳的职业年金支出。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15.卫生健康支出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lang w:val="en-US" w:eastAsia="zh-CN"/>
        </w:rPr>
        <w:t>210行政事业单位医疗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11行政事业单位医疗（项）01</w:t>
      </w:r>
      <w:r>
        <w:rPr>
          <w:rFonts w:hint="eastAsia" w:ascii="仿宋_GB2312" w:eastAsia="仿宋_GB2312"/>
          <w:color w:val="auto"/>
          <w:sz w:val="32"/>
          <w:szCs w:val="32"/>
          <w:highlight w:val="none"/>
        </w:rPr>
        <w:t>：指反映财政部门集中安排的行政单位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包括实行公务员管理事业单位，下同）</w:t>
      </w:r>
      <w:r>
        <w:rPr>
          <w:rFonts w:hint="eastAsia" w:ascii="仿宋_GB2312" w:eastAsia="仿宋_GB2312"/>
          <w:color w:val="auto"/>
          <w:sz w:val="32"/>
          <w:szCs w:val="32"/>
          <w:highlight w:val="none"/>
        </w:rPr>
        <w:t>基本医疗保险缴费经费，未参加医疗保险的行政单位的公费医疗经费，按国家规定享受离休人员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红军老战士</w:t>
      </w:r>
      <w:r>
        <w:rPr>
          <w:rFonts w:hint="eastAsia" w:ascii="仿宋_GB2312" w:eastAsia="仿宋_GB2312"/>
          <w:color w:val="auto"/>
          <w:sz w:val="32"/>
          <w:szCs w:val="32"/>
          <w:highlight w:val="none"/>
        </w:rPr>
        <w:t>待遇的医疗</w:t>
      </w:r>
      <w:r>
        <w:rPr>
          <w:rFonts w:hint="eastAsia" w:ascii="仿宋_GB2312" w:eastAsia="仿宋_GB2312"/>
          <w:color w:val="auto"/>
          <w:sz w:val="32"/>
          <w:szCs w:val="32"/>
          <w:highlight w:val="none"/>
          <w:lang w:val="en-US" w:eastAsia="zh-CN"/>
        </w:rPr>
        <w:t>经费</w:t>
      </w:r>
      <w:r>
        <w:rPr>
          <w:rFonts w:hint="eastAsia" w:ascii="仿宋_GB2312" w:eastAsia="仿宋_GB2312"/>
          <w:color w:val="auto"/>
          <w:sz w:val="32"/>
          <w:szCs w:val="32"/>
          <w:highlight w:val="none"/>
        </w:rPr>
        <w:t>。</w:t>
      </w:r>
    </w:p>
    <w:p>
      <w:pPr>
        <w:numPr>
          <w:ilvl w:val="0"/>
          <w:numId w:val="0"/>
        </w:numPr>
        <w:spacing w:line="560" w:lineRule="exact"/>
        <w:ind w:firstLine="320" w:firstLineChars="1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16.城乡社区支出</w:t>
      </w:r>
      <w:r>
        <w:rPr>
          <w:rFonts w:hint="eastAsia" w:ascii="仿宋_GB2312" w:eastAsia="仿宋_GB2312"/>
          <w:color w:val="auto"/>
          <w:sz w:val="32"/>
          <w:szCs w:val="32"/>
          <w:highlight w:val="none"/>
        </w:rPr>
        <w:t>（类）21</w:t>
      </w:r>
      <w:r>
        <w:rPr>
          <w:rFonts w:hint="eastAsia" w:ascii="仿宋_GB2312" w:eastAsia="仿宋_GB2312"/>
          <w:color w:val="auto"/>
          <w:sz w:val="32"/>
          <w:szCs w:val="32"/>
          <w:highlight w:val="none"/>
          <w:lang w:val="en-US" w:eastAsia="zh-CN"/>
        </w:rPr>
        <w:t>2城乡社区环境卫生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05城乡社区环境卫生</w:t>
      </w:r>
      <w:r>
        <w:rPr>
          <w:rFonts w:hint="eastAsia" w:ascii="仿宋_GB2312" w:eastAsia="仿宋_GB2312"/>
          <w:color w:val="auto"/>
          <w:sz w:val="32"/>
          <w:szCs w:val="32"/>
          <w:highlight w:val="none"/>
        </w:rPr>
        <w:t>（项）01：</w:t>
      </w:r>
      <w:r>
        <w:rPr>
          <w:rFonts w:hint="eastAsia" w:ascii="仿宋_GB2312" w:eastAsia="仿宋_GB2312"/>
          <w:color w:val="auto"/>
          <w:sz w:val="32"/>
          <w:szCs w:val="32"/>
          <w:highlight w:val="none"/>
          <w:lang w:eastAsia="zh-CN"/>
        </w:rPr>
        <w:t>反映城乡社区道路清扫、垃圾清运与处理、公厕建设与维护、园林绿化等方面的支出。</w:t>
      </w:r>
    </w:p>
    <w:p>
      <w:pPr>
        <w:pStyle w:val="2"/>
        <w:numPr>
          <w:ilvl w:val="0"/>
          <w:numId w:val="0"/>
        </w:num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17.城乡社区支出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lang w:val="en-US" w:eastAsia="zh-CN"/>
        </w:rPr>
        <w:t>212国有土地使用权出让收入安排的支出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08农业生产发展支出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14：反映土地出让收入用于高标准农田建设、农田水利建设、农村土地综合整治、耕地及永久基本农田保护支出、现代种业提升等方面的支出。</w:t>
      </w:r>
    </w:p>
    <w:p>
      <w:pPr>
        <w:pStyle w:val="2"/>
        <w:numPr>
          <w:ilvl w:val="0"/>
          <w:numId w:val="0"/>
        </w:num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18.城乡社区支出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lang w:val="en-US" w:eastAsia="zh-CN"/>
        </w:rPr>
        <w:t>212国有土地使用权出让收入安排的支出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08其他国有土地使用权出让收入安排的支出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99：反映土地出让收入用于其他方面的支出。不包括市县级政府当年按规定用土地出让收入向中央和省级政府缴纳的新增建设用地土地有偿使用费的支出。</w:t>
      </w:r>
    </w:p>
    <w:p>
      <w:pPr>
        <w:pStyle w:val="2"/>
        <w:numPr>
          <w:ilvl w:val="0"/>
          <w:numId w:val="0"/>
        </w:num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19.农林水支出（类）213水利（款）03防汛（项）14：反映防汛业务支出。</w:t>
      </w:r>
    </w:p>
    <w:p>
      <w:pPr>
        <w:pStyle w:val="2"/>
        <w:numPr>
          <w:ilvl w:val="0"/>
          <w:numId w:val="0"/>
        </w:numPr>
        <w:ind w:firstLine="320" w:firstLineChars="1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20.农林水支出（类）213巩固脱贫攻坚成果衔接乡村振兴（款）05其他巩固脱贫攻坚成果衔接乡村振兴支出（项）99：反映除上述项目以外其他用于巩固拓展脱贫攻坚成果同乡村振兴有效衔接方面的支出。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lang w:eastAsia="zh-CN"/>
        </w:rPr>
        <w:t>农林水支出（类）</w:t>
      </w:r>
      <w:r>
        <w:rPr>
          <w:rFonts w:hint="eastAsia" w:ascii="仿宋_GB2312" w:eastAsia="仿宋_GB2312"/>
          <w:color w:val="auto"/>
          <w:sz w:val="32"/>
          <w:szCs w:val="32"/>
          <w:highlight w:val="none"/>
        </w:rPr>
        <w:t>213</w:t>
      </w:r>
      <w:r>
        <w:rPr>
          <w:rFonts w:hint="eastAsia" w:ascii="仿宋_GB2312" w:eastAsia="仿宋_GB2312"/>
          <w:color w:val="auto"/>
          <w:sz w:val="32"/>
          <w:szCs w:val="32"/>
          <w:highlight w:val="none"/>
          <w:lang w:eastAsia="zh-CN"/>
        </w:rPr>
        <w:t>农村综合改革</w:t>
      </w:r>
      <w:r>
        <w:rPr>
          <w:rFonts w:hint="eastAsia" w:ascii="仿宋_GB2312" w:eastAsia="仿宋_GB2312"/>
          <w:color w:val="auto"/>
          <w:sz w:val="32"/>
          <w:szCs w:val="32"/>
          <w:highlight w:val="none"/>
        </w:rPr>
        <w:t>（款）07对村民委员会和村党支部的补助（项）05：反映各级财政对村民委员会和村党支部的补助支出，以及支持建立县级基本财力保障机制安排的村级组织运转奖补资金。</w:t>
      </w:r>
    </w:p>
    <w:p>
      <w:pPr>
        <w:numPr>
          <w:ilvl w:val="0"/>
          <w:numId w:val="0"/>
        </w:numPr>
        <w:spacing w:line="560" w:lineRule="exact"/>
        <w:ind w:firstLine="320" w:firstLineChars="100"/>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22.资源勘探工业信息等</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215建筑业</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03其他建筑业支出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99：反映除上述项目以外其他项目用于建筑业方面的支出。</w:t>
      </w:r>
    </w:p>
    <w:p>
      <w:pPr>
        <w:pStyle w:val="2"/>
        <w:numPr>
          <w:ilvl w:val="0"/>
          <w:numId w:val="0"/>
        </w:numPr>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lang w:eastAsia="zh-CN"/>
        </w:rPr>
        <w:t>住房保障支出</w:t>
      </w:r>
      <w:r>
        <w:rPr>
          <w:rFonts w:hint="eastAsia" w:ascii="仿宋_GB2312" w:eastAsia="仿宋_GB2312"/>
          <w:color w:val="auto"/>
          <w:sz w:val="32"/>
          <w:szCs w:val="32"/>
          <w:highlight w:val="none"/>
        </w:rPr>
        <w:t>（类）221</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（款）02住房公积金（项）01：指反映行政事业单位按人力资源和社会保障部、财政部规定的基本工资和津贴补贴以及规定比例为职工缴纳的住房公积金。</w:t>
      </w:r>
    </w:p>
    <w:p>
      <w:pPr>
        <w:pStyle w:val="2"/>
        <w:numPr>
          <w:ilvl w:val="0"/>
          <w:numId w:val="0"/>
        </w:numPr>
        <w:ind w:firstLine="320" w:firstLineChars="100"/>
        <w:rPr>
          <w:rFonts w:hint="default" w:ascii="仿宋_GB2312" w:eastAsia="仿宋_GB2312"/>
          <w:color w:val="auto"/>
          <w:sz w:val="32"/>
          <w:szCs w:val="32"/>
          <w:highlight w:val="none"/>
          <w:lang w:val="en-US" w:eastAsia="zh-CN"/>
        </w:rPr>
      </w:pPr>
      <w:r>
        <w:rPr>
          <w:rFonts w:hint="eastAsia" w:ascii="仿宋" w:hAnsi="仿宋" w:eastAsia="仿宋" w:cs="仿宋"/>
          <w:color w:val="auto"/>
          <w:sz w:val="32"/>
          <w:szCs w:val="32"/>
          <w:highlight w:val="none"/>
          <w:lang w:val="en-US" w:eastAsia="zh-CN"/>
        </w:rPr>
        <w:t>24.应急防治及应急管理支出</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224</w:t>
      </w:r>
      <w:r>
        <w:rPr>
          <w:rFonts w:hint="eastAsia" w:ascii="仿宋_GB2312" w:eastAsia="仿宋_GB2312"/>
          <w:color w:val="auto"/>
          <w:sz w:val="32"/>
          <w:szCs w:val="32"/>
          <w:highlight w:val="none"/>
          <w:lang w:val="en-US" w:eastAsia="zh-CN"/>
        </w:rPr>
        <w:t>应急管理事务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01</w:t>
      </w:r>
      <w:r>
        <w:rPr>
          <w:rFonts w:hint="default" w:ascii="仿宋_GB2312" w:eastAsia="仿宋_GB2312"/>
          <w:color w:val="auto"/>
          <w:sz w:val="32"/>
          <w:szCs w:val="32"/>
          <w:highlight w:val="none"/>
          <w:lang w:eastAsia="zh-CN"/>
        </w:rPr>
        <w:t>其他应急管理支出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99：反映上述项目以外其他应急管理方面的支出。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 xml:space="preserve">项目支出：指在基本支出之外为完成特定行政任务和事业发展目标所发生的支出。 </w:t>
      </w:r>
    </w:p>
    <w:p>
      <w:pPr>
        <w:pStyle w:val="30"/>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Style w:val="21"/>
          <w:rFonts w:ascii="黑体" w:hAnsi="黑体" w:eastAsia="黑体"/>
          <w:b w:val="0"/>
          <w:color w:val="auto"/>
          <w:highlight w:val="none"/>
        </w:rPr>
      </w:pPr>
      <w:bookmarkStart w:id="53" w:name="_Toc15377226"/>
      <w:r>
        <w:rPr>
          <w:rFonts w:ascii="宋体"/>
          <w:b/>
          <w:color w:val="auto"/>
          <w:sz w:val="44"/>
          <w:szCs w:val="44"/>
          <w:highlight w:val="none"/>
        </w:rPr>
        <w:br w:type="page"/>
      </w:r>
      <w:bookmarkStart w:id="54" w:name="_Toc15396614"/>
      <w:r>
        <w:rPr>
          <w:rFonts w:hint="eastAsia" w:ascii="宋体"/>
          <w:b/>
          <w:color w:val="auto"/>
          <w:sz w:val="44"/>
          <w:szCs w:val="44"/>
          <w:highlight w:val="none"/>
          <w:lang w:val="en-US" w:eastAsia="zh-CN"/>
        </w:rPr>
        <w:t xml:space="preserve">           </w:t>
      </w:r>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 附件</w:t>
      </w:r>
      <w:bookmarkEnd w:id="54"/>
    </w:p>
    <w:p>
      <w:pPr>
        <w:spacing w:line="600" w:lineRule="exact"/>
        <w:jc w:val="both"/>
        <w:outlineLvl w:val="0"/>
        <w:rPr>
          <w:rFonts w:hint="default" w:ascii="宋体" w:hAnsi="宋体" w:eastAsia="宋体" w:cs="宋体"/>
          <w:color w:val="auto"/>
          <w:kern w:val="0"/>
          <w:sz w:val="32"/>
          <w:szCs w:val="32"/>
          <w:highlight w:val="none"/>
          <w:lang w:val="en-US" w:eastAsia="zh-CN" w:bidi="ar-SA"/>
        </w:rPr>
      </w:pPr>
      <w:bookmarkStart w:id="55" w:name="_Toc15396618"/>
      <w:r>
        <w:rPr>
          <w:rFonts w:hint="eastAsia" w:ascii="宋体" w:hAnsi="宋体" w:cs="宋体"/>
          <w:color w:val="auto"/>
          <w:kern w:val="0"/>
          <w:sz w:val="32"/>
          <w:szCs w:val="32"/>
          <w:highlight w:val="none"/>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70" w:lineRule="exact"/>
        <w:contextualSpacing/>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ascii="方正小标宋简体" w:hAnsi="方正小标宋简体" w:eastAsia="方正小标宋简体" w:cs="方正小标宋简体"/>
          <w:sz w:val="44"/>
          <w:szCs w:val="44"/>
          <w:lang w:val="en-US" w:eastAsia="zh-CN"/>
        </w:rPr>
        <w:t>袁家坝</w:t>
      </w:r>
      <w:r>
        <w:rPr>
          <w:rFonts w:hint="eastAsia" w:ascii="方正小标宋简体" w:hAnsi="方正小标宋简体" w:eastAsia="方正小标宋简体" w:cs="方正小标宋简体"/>
          <w:sz w:val="44"/>
          <w:szCs w:val="44"/>
        </w:rPr>
        <w:t>办事处</w:t>
      </w:r>
      <w:r>
        <w:rPr>
          <w:rFonts w:hint="default" w:ascii="Times New Roman" w:hAnsi="Times New Roman" w:eastAsia="方正小标宋简体" w:cs="Times New Roman"/>
          <w:b w:val="0"/>
          <w:bCs/>
          <w:sz w:val="44"/>
          <w:szCs w:val="44"/>
          <w:highlight w:val="none"/>
          <w:shd w:val="clear" w:color="auto" w:fill="FFFFFF"/>
        </w:rPr>
        <w:t>部门</w:t>
      </w:r>
      <w:r>
        <w:rPr>
          <w:rFonts w:hint="eastAsia" w:eastAsia="方正小标宋简体" w:cs="Times New Roman"/>
          <w:b w:val="0"/>
          <w:bCs/>
          <w:sz w:val="44"/>
          <w:szCs w:val="44"/>
          <w:highlight w:val="none"/>
          <w:shd w:val="clear" w:color="auto" w:fill="FFFFFF"/>
          <w:lang w:eastAsia="zh-CN"/>
        </w:rPr>
        <w:t>整体</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仿宋_GB2312" w:hAnsi="仿宋_GB2312" w:eastAsia="仿宋_GB2312" w:cs="仿宋_GB2312"/>
          <w:color w:val="000000"/>
          <w:w w:val="100"/>
          <w:kern w:val="0"/>
          <w:sz w:val="32"/>
          <w:szCs w:val="32"/>
          <w:highlight w:val="none"/>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黑体" w:hAnsi="黑体" w:eastAsia="黑体" w:cs="黑体"/>
          <w:w w:val="100"/>
          <w:sz w:val="32"/>
          <w:szCs w:val="32"/>
        </w:rPr>
      </w:pPr>
      <w:r>
        <w:rPr>
          <w:rFonts w:hint="eastAsia" w:ascii="黑体" w:hAnsi="黑体" w:eastAsia="黑体" w:cs="黑体"/>
          <w:color w:val="000000"/>
          <w:w w:val="100"/>
          <w:kern w:val="0"/>
          <w:sz w:val="32"/>
          <w:szCs w:val="32"/>
          <w:highlight w:val="none"/>
          <w:shd w:val="clear" w:color="auto" w:fill="FFFFFF"/>
          <w:lang w:val="zh-CN"/>
        </w:rPr>
        <w:t>一、部门（单位）基本情况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仿宋_GB2312" w:hAnsi="仿宋_GB2312" w:eastAsia="仿宋_GB2312" w:cs="仿宋_GB2312"/>
          <w:b w:val="0"/>
          <w:bCs w:val="0"/>
          <w:w w:val="100"/>
          <w:sz w:val="32"/>
          <w:szCs w:val="32"/>
          <w:lang w:val="en-US"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（一）机构组成。</w:t>
      </w:r>
      <w:r>
        <w:rPr>
          <w:rFonts w:hint="eastAsia" w:ascii="仿宋_GB2312" w:hAnsi="仿宋_GB2312" w:eastAsia="仿宋_GB2312" w:cs="仿宋_GB2312"/>
          <w:b w:val="0"/>
          <w:bCs w:val="0"/>
          <w:w w:val="100"/>
          <w:sz w:val="32"/>
          <w:szCs w:val="32"/>
          <w:lang w:val="en-US" w:eastAsia="zh-CN"/>
        </w:rPr>
        <w:t>位为广元经济技术开发区管理委员会的下属二级预算单位，本单位无单下属机构，设有内设部门6个，辖区管理2村2居。</w:t>
      </w:r>
    </w:p>
    <w:p>
      <w:pPr>
        <w:keepNext w:val="0"/>
        <w:keepLines w:val="0"/>
        <w:pageBreakBefore w:val="0"/>
        <w:kinsoku/>
        <w:wordWrap/>
        <w:overflowPunct/>
        <w:topLinePunct w:val="0"/>
        <w:autoSpaceDE/>
        <w:autoSpaceDN/>
        <w:bidi w:val="0"/>
        <w:adjustRightInd/>
        <w:spacing w:line="576" w:lineRule="exact"/>
        <w:ind w:left="-210" w:leftChars="-100" w:right="-210" w:rightChars="-100" w:firstLine="640" w:firstLineChars="200"/>
        <w:textAlignment w:val="auto"/>
        <w:rPr>
          <w:rFonts w:hint="eastAsia" w:ascii="仿宋_GB2312" w:hAnsi="仿宋_GB2312" w:eastAsia="仿宋_GB2312" w:cs="仿宋_GB2312"/>
          <w:b w:val="0"/>
          <w:bCs w:val="0"/>
          <w:w w:val="100"/>
          <w:sz w:val="32"/>
          <w:szCs w:val="32"/>
          <w:lang w:val="zh-CN"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（二）机构职能。</w:t>
      </w:r>
      <w:r>
        <w:rPr>
          <w:rFonts w:hint="eastAsia" w:ascii="仿宋_GB2312" w:hAnsi="仿宋_GB2312" w:eastAsia="仿宋_GB2312" w:cs="仿宋_GB2312"/>
          <w:b w:val="0"/>
          <w:bCs w:val="0"/>
          <w:w w:val="100"/>
          <w:sz w:val="32"/>
          <w:szCs w:val="32"/>
          <w:lang w:val="en-US" w:eastAsia="zh-CN"/>
        </w:rPr>
        <w:t>袁家坝办事处职能简介负责辖区内企业服务、安全生产、信访维稳、房屋征收与补偿、计划生育、民政、劳动就业、社会保障、环境卫生等工作。</w:t>
      </w:r>
    </w:p>
    <w:p>
      <w:pPr>
        <w:keepNext w:val="0"/>
        <w:keepLines w:val="0"/>
        <w:pageBreakBefore w:val="0"/>
        <w:kinsoku/>
        <w:wordWrap/>
        <w:overflowPunct/>
        <w:topLinePunct w:val="0"/>
        <w:autoSpaceDE/>
        <w:autoSpaceDN/>
        <w:bidi w:val="0"/>
        <w:adjustRightInd/>
        <w:spacing w:line="576" w:lineRule="exact"/>
        <w:ind w:left="-210" w:leftChars="-100" w:right="-210" w:rightChars="-100" w:firstLine="640" w:firstLineChars="200"/>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（三）人员概况。</w:t>
      </w:r>
      <w:r>
        <w:rPr>
          <w:rFonts w:hint="eastAsia" w:ascii="仿宋_GB2312" w:hAnsi="仿宋_GB2312" w:eastAsia="仿宋_GB2312" w:cs="仿宋_GB2312"/>
          <w:b w:val="0"/>
          <w:bCs w:val="0"/>
          <w:w w:val="100"/>
          <w:sz w:val="32"/>
          <w:szCs w:val="32"/>
          <w:lang w:val="en-US" w:eastAsia="zh-CN"/>
        </w:rPr>
        <w:t>截至2024年末，袁家坝办事处年末实有人数</w:t>
      </w:r>
      <w:r>
        <w:rPr>
          <w:rFonts w:hint="eastAsia" w:ascii="仿宋_GB2312" w:hAnsi="仿宋_GB2312" w:eastAsia="仿宋_GB2312" w:cs="仿宋_GB2312"/>
          <w:sz w:val="28"/>
          <w:szCs w:val="28"/>
          <w:lang w:val="en-US" w:eastAsia="zh-CN"/>
        </w:rPr>
        <w:t>29人，</w:t>
      </w:r>
      <w:r>
        <w:rPr>
          <w:rFonts w:hint="eastAsia" w:ascii="仿宋_GB2312" w:hAnsi="仿宋_GB2312" w:eastAsia="仿宋_GB2312" w:cs="仿宋_GB2312"/>
          <w:b w:val="0"/>
          <w:bCs w:val="0"/>
          <w:w w:val="100"/>
          <w:sz w:val="32"/>
          <w:szCs w:val="32"/>
          <w:lang w:val="en-US" w:eastAsia="zh-CN"/>
        </w:rPr>
        <w:t>其中：在职正式干部14名，聘用干部15名</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黑体" w:hAnsi="黑体" w:eastAsia="黑体" w:cs="黑体"/>
          <w:b w:val="0"/>
          <w:bCs w:val="0"/>
          <w:color w:val="000000"/>
          <w:w w:val="100"/>
          <w:kern w:val="0"/>
          <w:sz w:val="32"/>
          <w:szCs w:val="32"/>
          <w:highlight w:val="none"/>
          <w:shd w:val="clear" w:color="auto" w:fill="FFFFFF"/>
        </w:rPr>
      </w:pPr>
      <w:r>
        <w:rPr>
          <w:rFonts w:hint="eastAsia" w:ascii="黑体" w:hAnsi="黑体" w:eastAsia="黑体" w:cs="黑体"/>
          <w:b w:val="0"/>
          <w:bCs w:val="0"/>
          <w:color w:val="000000"/>
          <w:w w:val="100"/>
          <w:kern w:val="0"/>
          <w:sz w:val="32"/>
          <w:szCs w:val="32"/>
          <w:highlight w:val="none"/>
          <w:shd w:val="clear" w:color="auto" w:fill="FFFFFF"/>
        </w:rPr>
        <w:t>二、</w:t>
      </w:r>
      <w:r>
        <w:rPr>
          <w:rFonts w:hint="eastAsia" w:ascii="黑体" w:hAnsi="黑体" w:eastAsia="黑体" w:cs="黑体"/>
          <w:b w:val="0"/>
          <w:bCs w:val="0"/>
          <w:color w:val="000000"/>
          <w:w w:val="100"/>
          <w:kern w:val="0"/>
          <w:sz w:val="32"/>
          <w:szCs w:val="32"/>
          <w:highlight w:val="none"/>
          <w:shd w:val="clear" w:color="auto" w:fill="FFFFFF"/>
          <w:lang w:eastAsia="zh-CN"/>
        </w:rPr>
        <w:t>部门</w:t>
      </w:r>
      <w:r>
        <w:rPr>
          <w:rFonts w:hint="eastAsia" w:ascii="黑体" w:hAnsi="黑体" w:eastAsia="黑体" w:cs="黑体"/>
          <w:b w:val="0"/>
          <w:bCs w:val="0"/>
          <w:color w:val="000000"/>
          <w:w w:val="100"/>
          <w:kern w:val="0"/>
          <w:sz w:val="32"/>
          <w:szCs w:val="32"/>
          <w:highlight w:val="none"/>
          <w:shd w:val="clear" w:color="auto" w:fill="FFFFFF"/>
        </w:rPr>
        <w:t>资金收支情况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仿宋_GB2312" w:hAnsi="仿宋_GB2312" w:eastAsia="仿宋_GB2312" w:cs="仿宋_GB2312"/>
          <w:b w:val="0"/>
          <w:bCs w:val="0"/>
          <w:w w:val="100"/>
          <w:sz w:val="32"/>
          <w:szCs w:val="32"/>
          <w:lang w:val="en-US"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（一）收入情况。</w:t>
      </w:r>
      <w:r>
        <w:rPr>
          <w:rFonts w:hint="eastAsia" w:ascii="仿宋_GB2312" w:hAnsi="仿宋_GB2312" w:eastAsia="仿宋_GB2312" w:cs="仿宋_GB2312"/>
          <w:b w:val="0"/>
          <w:bCs w:val="0"/>
          <w:w w:val="100"/>
          <w:sz w:val="32"/>
          <w:szCs w:val="32"/>
          <w:lang w:val="en-US" w:eastAsia="zh-CN"/>
        </w:rPr>
        <w:t>2024年部门财政资金收入1040.18万元，其中一般公共预算财政拨款收入931.06万元，政府性基金收入109.12万元。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仿宋_GB2312" w:hAnsi="仿宋_GB2312" w:eastAsia="仿宋_GB2312" w:cs="仿宋_GB2312"/>
          <w:b w:val="0"/>
          <w:bCs w:val="0"/>
          <w:w w:val="100"/>
          <w:sz w:val="32"/>
          <w:szCs w:val="32"/>
          <w:lang w:val="zh-CN"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（二）支出情况。</w:t>
      </w:r>
      <w:r>
        <w:rPr>
          <w:rFonts w:hint="eastAsia" w:ascii="仿宋_GB2312" w:hAnsi="仿宋_GB2312" w:eastAsia="仿宋_GB2312" w:cs="仿宋_GB2312"/>
          <w:sz w:val="28"/>
          <w:szCs w:val="28"/>
        </w:rPr>
        <w:t>2</w:t>
      </w:r>
      <w:r>
        <w:rPr>
          <w:rFonts w:hint="eastAsia" w:ascii="仿宋_GB2312" w:hAnsi="仿宋_GB2312" w:eastAsia="仿宋_GB2312" w:cs="仿宋_GB2312"/>
          <w:b w:val="0"/>
          <w:bCs w:val="0"/>
          <w:w w:val="100"/>
          <w:sz w:val="32"/>
          <w:szCs w:val="32"/>
          <w:lang w:val="en-US" w:eastAsia="zh-CN"/>
        </w:rPr>
        <w:t>024年支出总计1040.18万元，其中基本支出415.5万元，项目支出624.68万元。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仿宋_GB2312" w:hAnsi="仿宋_GB2312" w:eastAsia="仿宋_GB2312" w:cs="仿宋_GB2312"/>
          <w:b w:val="0"/>
          <w:bCs w:val="0"/>
          <w:w w:val="100"/>
          <w:sz w:val="32"/>
          <w:szCs w:val="32"/>
          <w:lang w:val="zh-CN"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（三）结转结余情况</w:t>
      </w:r>
      <w:r>
        <w:rPr>
          <w:rFonts w:hint="eastAsia" w:ascii="楷体_GB2312" w:hAnsi="楷体_GB2312" w:eastAsia="楷体_GB2312" w:cs="楷体_GB2312"/>
          <w:b w:val="0"/>
          <w:bCs w:val="0"/>
          <w:color w:val="000000"/>
          <w:w w:val="100"/>
          <w:kern w:val="0"/>
          <w:sz w:val="32"/>
          <w:szCs w:val="32"/>
          <w:highlight w:val="none"/>
          <w:shd w:val="clear" w:color="auto" w:fill="FFFFFF"/>
          <w:lang w:val="zh-CN" w:eastAsia="zh-CN"/>
        </w:rPr>
        <w:t>。</w:t>
      </w:r>
      <w:r>
        <w:rPr>
          <w:rFonts w:hint="eastAsia" w:ascii="仿宋_GB2312" w:hAnsi="仿宋_GB2312" w:eastAsia="仿宋_GB2312" w:cs="仿宋_GB2312"/>
          <w:b w:val="0"/>
          <w:bCs w:val="0"/>
          <w:w w:val="100"/>
          <w:sz w:val="32"/>
          <w:szCs w:val="32"/>
          <w:lang w:val="en-US" w:eastAsia="zh-CN"/>
        </w:rPr>
        <w:t>2024年决算报表无结转结余。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黑体" w:hAnsi="黑体" w:eastAsia="黑体" w:cs="黑体"/>
          <w:b w:val="0"/>
          <w:bCs w:val="0"/>
          <w:color w:val="000000"/>
          <w:w w:val="100"/>
          <w:kern w:val="0"/>
          <w:sz w:val="32"/>
          <w:szCs w:val="32"/>
          <w:highlight w:val="none"/>
          <w:shd w:val="clear" w:color="auto" w:fill="FFFFFF"/>
        </w:rPr>
      </w:pPr>
      <w:r>
        <w:rPr>
          <w:rFonts w:hint="eastAsia" w:ascii="黑体" w:hAnsi="黑体" w:eastAsia="黑体" w:cs="黑体"/>
          <w:b w:val="0"/>
          <w:bCs w:val="0"/>
          <w:color w:val="000000"/>
          <w:w w:val="100"/>
          <w:kern w:val="0"/>
          <w:sz w:val="32"/>
          <w:szCs w:val="32"/>
          <w:highlight w:val="none"/>
          <w:shd w:val="clear" w:color="auto" w:fill="FFFFFF"/>
        </w:rPr>
        <w:t>三、</w:t>
      </w:r>
      <w:r>
        <w:rPr>
          <w:rFonts w:hint="eastAsia" w:ascii="黑体" w:hAnsi="黑体" w:eastAsia="黑体" w:cs="黑体"/>
          <w:b w:val="0"/>
          <w:bCs w:val="0"/>
          <w:color w:val="000000"/>
          <w:w w:val="100"/>
          <w:kern w:val="0"/>
          <w:sz w:val="32"/>
          <w:szCs w:val="32"/>
          <w:highlight w:val="none"/>
          <w:u w:val="none"/>
          <w:shd w:val="clear" w:color="auto" w:fill="FFFFFF"/>
        </w:rPr>
        <w:t>部门</w:t>
      </w:r>
      <w:r>
        <w:rPr>
          <w:rFonts w:hint="eastAsia" w:ascii="黑体" w:hAnsi="黑体" w:eastAsia="黑体" w:cs="黑体"/>
          <w:b w:val="0"/>
          <w:bCs w:val="0"/>
          <w:color w:val="000000"/>
          <w:w w:val="100"/>
          <w:kern w:val="0"/>
          <w:sz w:val="32"/>
          <w:szCs w:val="32"/>
          <w:highlight w:val="none"/>
          <w:u w:val="none"/>
          <w:shd w:val="clear" w:color="auto" w:fill="FFFFFF"/>
          <w:lang w:eastAsia="zh-CN"/>
        </w:rPr>
        <w:t>预算</w:t>
      </w:r>
      <w:r>
        <w:rPr>
          <w:rFonts w:hint="eastAsia" w:ascii="黑体" w:hAnsi="黑体" w:eastAsia="黑体" w:cs="黑体"/>
          <w:b w:val="0"/>
          <w:bCs w:val="0"/>
          <w:color w:val="000000"/>
          <w:w w:val="100"/>
          <w:kern w:val="0"/>
          <w:sz w:val="32"/>
          <w:szCs w:val="32"/>
          <w:highlight w:val="none"/>
          <w:u w:val="none"/>
          <w:shd w:val="clear" w:color="auto" w:fill="FFFFFF"/>
        </w:rPr>
        <w:t>绩效</w:t>
      </w:r>
      <w:r>
        <w:rPr>
          <w:rFonts w:hint="eastAsia" w:ascii="黑体" w:hAnsi="黑体" w:eastAsia="黑体" w:cs="黑体"/>
          <w:b w:val="0"/>
          <w:bCs w:val="0"/>
          <w:color w:val="000000"/>
          <w:w w:val="100"/>
          <w:kern w:val="0"/>
          <w:sz w:val="32"/>
          <w:szCs w:val="32"/>
          <w:highlight w:val="none"/>
          <w:u w:val="none"/>
          <w:shd w:val="clear" w:color="auto" w:fill="FFFFFF"/>
          <w:lang w:eastAsia="zh-CN"/>
        </w:rPr>
        <w:t>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仿宋_GB2312" w:hAnsi="仿宋_GB2312" w:eastAsia="仿宋_GB2312" w:cs="仿宋_GB2312"/>
          <w:b w:val="0"/>
          <w:bCs w:val="0"/>
          <w:w w:val="100"/>
          <w:sz w:val="32"/>
          <w:szCs w:val="32"/>
          <w:lang w:val="en-US"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（一）部门预算总体绩效分析。</w:t>
      </w:r>
      <w:r>
        <w:rPr>
          <w:rFonts w:hint="eastAsia" w:ascii="仿宋_GB2312" w:hAnsi="仿宋_GB2312" w:eastAsia="仿宋_GB2312" w:cs="仿宋_GB2312"/>
          <w:b w:val="0"/>
          <w:bCs w:val="0"/>
          <w:w w:val="100"/>
          <w:sz w:val="32"/>
          <w:szCs w:val="32"/>
          <w:lang w:val="en-US" w:eastAsia="zh-CN"/>
        </w:rPr>
        <w:t>2024年本部门支出绩效目标完成情况。基本实现产出和取得效益目标，全年围绕本部门职责，以预算资金管理为主线，总结本部门2024年工作开展情况，从项目成本、管理效率、履职效能、社会效益、可持续发展能力和服务对象满意度等方面，衡量本部门整体及核心业务实施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default" w:ascii="仿宋_GB2312" w:hAnsi="仿宋_GB2312" w:eastAsia="仿宋_GB2312" w:cs="仿宋_GB2312"/>
          <w:color w:val="000000"/>
          <w:w w:val="100"/>
          <w:kern w:val="0"/>
          <w:sz w:val="32"/>
          <w:szCs w:val="32"/>
          <w:highlight w:val="none"/>
          <w:shd w:val="clear" w:color="auto" w:fill="FFFFFF"/>
          <w:lang w:val="en-US" w:eastAsia="zh-CN"/>
        </w:rPr>
      </w:pPr>
      <w:r>
        <w:rPr>
          <w:rFonts w:hint="eastAsia" w:ascii="仿宋_GB2312" w:hAnsi="仿宋_GB2312" w:eastAsia="仿宋_GB2312" w:cs="仿宋_GB2312"/>
          <w:color w:val="000000"/>
          <w:w w:val="100"/>
          <w:kern w:val="0"/>
          <w:sz w:val="32"/>
          <w:szCs w:val="32"/>
          <w:highlight w:val="none"/>
          <w:shd w:val="clear" w:color="auto" w:fill="FFFFFF"/>
          <w:lang w:val="en-US" w:eastAsia="zh-CN"/>
        </w:rPr>
        <w:t>1.</w:t>
      </w:r>
      <w:r>
        <w:rPr>
          <w:rFonts w:hint="eastAsia" w:ascii="仿宋_GB2312" w:hAnsi="仿宋_GB2312" w:eastAsia="仿宋_GB2312" w:cs="仿宋_GB2312"/>
          <w:color w:val="000000"/>
          <w:w w:val="100"/>
          <w:kern w:val="0"/>
          <w:sz w:val="32"/>
          <w:szCs w:val="32"/>
          <w:highlight w:val="none"/>
          <w:shd w:val="clear" w:color="auto" w:fill="FFFFFF"/>
          <w:lang w:val="zh-CN"/>
        </w:rPr>
        <w:t>履职效能。</w:t>
      </w:r>
      <w:r>
        <w:rPr>
          <w:rFonts w:hint="eastAsia" w:ascii="仿宋_GB2312" w:hAnsi="仿宋_GB2312" w:eastAsia="仿宋_GB2312" w:cs="仿宋_GB2312"/>
          <w:color w:val="000000"/>
          <w:w w:val="100"/>
          <w:kern w:val="0"/>
          <w:sz w:val="32"/>
          <w:szCs w:val="32"/>
          <w:highlight w:val="none"/>
          <w:shd w:val="clear" w:color="auto" w:fill="FFFFFF"/>
          <w:lang w:val="en-US" w:eastAsia="zh-CN"/>
        </w:rPr>
        <w:t>自评得分15分</w:t>
      </w:r>
      <w:r>
        <w:rPr>
          <w:rFonts w:hint="eastAsia" w:ascii="仿宋_GB2312" w:hAnsi="仿宋_GB2312" w:eastAsia="仿宋_GB2312" w:cs="仿宋_GB2312"/>
          <w:color w:val="000000"/>
          <w:w w:val="100"/>
          <w:kern w:val="0"/>
          <w:sz w:val="32"/>
          <w:szCs w:val="32"/>
          <w:highlight w:val="none"/>
          <w:shd w:val="clear" w:color="auto" w:fill="FFFFFF"/>
          <w:lang w:val="zh-CN"/>
        </w:rPr>
        <w:t>。（</w:t>
      </w:r>
      <w:r>
        <w:rPr>
          <w:rFonts w:hint="eastAsia" w:ascii="仿宋_GB2312" w:hAnsi="仿宋_GB2312" w:eastAsia="仿宋_GB2312" w:cs="仿宋_GB2312"/>
          <w:color w:val="000000"/>
          <w:w w:val="100"/>
          <w:kern w:val="0"/>
          <w:sz w:val="32"/>
          <w:szCs w:val="32"/>
          <w:highlight w:val="none"/>
          <w:shd w:val="clear" w:color="auto" w:fill="FFFFFF"/>
          <w:lang w:val="en-US" w:eastAsia="zh-CN"/>
        </w:rPr>
        <w:t>1</w:t>
      </w:r>
      <w:r>
        <w:rPr>
          <w:rFonts w:hint="eastAsia" w:ascii="仿宋_GB2312" w:hAnsi="仿宋_GB2312" w:eastAsia="仿宋_GB2312" w:cs="仿宋_GB2312"/>
          <w:color w:val="000000"/>
          <w:w w:val="100"/>
          <w:kern w:val="0"/>
          <w:sz w:val="32"/>
          <w:szCs w:val="32"/>
          <w:highlight w:val="none"/>
          <w:shd w:val="clear" w:color="auto" w:fill="FFFFFF"/>
          <w:lang w:val="zh-CN"/>
        </w:rPr>
        <w:t>）</w:t>
      </w:r>
      <w:r>
        <w:rPr>
          <w:rFonts w:hint="eastAsia" w:ascii="仿宋_GB2312" w:hAnsi="仿宋_GB2312" w:eastAsia="仿宋_GB2312" w:cs="仿宋_GB2312"/>
          <w:color w:val="000000"/>
          <w:w w:val="100"/>
          <w:kern w:val="0"/>
          <w:sz w:val="32"/>
          <w:szCs w:val="32"/>
          <w:highlight w:val="none"/>
          <w:shd w:val="clear" w:color="auto" w:fill="FFFFFF"/>
          <w:lang w:val="en-US" w:eastAsia="zh-CN"/>
        </w:rPr>
        <w:t>袁家坝铝产业园指挥部园区指挥部在2024年全年组织外出招商考察30余次，洽谈项目30余个，2024年新签约项目12个，完成投产80%以上。为园区发展提供动力。为园区发展提供有力保障。自评得分3分。（2）党建部门2024年注重干部队伍提升，及时完成上级下达的宣传征订任务，全年组织党建活动20余次，按时完成各项目标任务。自评得分3分。（3）综治维稳部门，全年走访摸排重点人员次数20余次，信访举报处置率达到90%，无重大群体性事件，保障了辖区稳定。自评得分3分。（4）经济发展中心开展环境整治4次，集中检查4次，辖区内环境质量逐步改善，民众满意度上升。自评得分3分。（5）应急管理部门2024年开展综合性大检查10次，隐患排查率、整改率完成100%。更新各类安全指示牌、标语等20余次，全年安全事故为0，全面达到年初目标。自评得分3分。</w:t>
      </w:r>
    </w:p>
    <w:p>
      <w:pPr>
        <w:keepNext w:val="0"/>
        <w:keepLines w:val="0"/>
        <w:pageBreakBefore w:val="0"/>
        <w:kinsoku/>
        <w:wordWrap/>
        <w:overflowPunct/>
        <w:topLinePunct w:val="0"/>
        <w:autoSpaceDE/>
        <w:autoSpaceDN/>
        <w:bidi w:val="0"/>
        <w:adjustRightInd/>
        <w:spacing w:line="576" w:lineRule="exact"/>
        <w:ind w:left="-210" w:leftChars="-100" w:right="-210" w:rightChars="-100" w:firstLine="640" w:firstLineChars="200"/>
        <w:textAlignment w:val="auto"/>
        <w:rPr>
          <w:rFonts w:hint="default" w:ascii="仿宋_GB2312" w:hAnsi="仿宋_GB2312" w:eastAsia="仿宋_GB2312" w:cs="仿宋_GB2312"/>
          <w:color w:val="000000"/>
          <w:w w:val="100"/>
          <w:kern w:val="0"/>
          <w:sz w:val="32"/>
          <w:szCs w:val="32"/>
          <w:highlight w:val="none"/>
          <w:shd w:val="clear" w:color="auto" w:fill="FFFFFF"/>
          <w:lang w:val="en-US" w:eastAsia="zh-CN"/>
        </w:rPr>
      </w:pPr>
      <w:r>
        <w:rPr>
          <w:rFonts w:hint="eastAsia" w:ascii="仿宋_GB2312" w:hAnsi="仿宋_GB2312" w:eastAsia="仿宋_GB2312" w:cs="仿宋_GB2312"/>
          <w:color w:val="000000"/>
          <w:w w:val="100"/>
          <w:kern w:val="0"/>
          <w:sz w:val="32"/>
          <w:szCs w:val="32"/>
          <w:highlight w:val="none"/>
          <w:shd w:val="clear" w:color="auto" w:fill="FFFFFF"/>
          <w:lang w:val="en-US" w:eastAsia="zh-CN"/>
        </w:rPr>
        <w:t>2.</w:t>
      </w:r>
      <w:r>
        <w:rPr>
          <w:rFonts w:hint="eastAsia" w:ascii="仿宋_GB2312" w:hAnsi="仿宋_GB2312" w:eastAsia="仿宋_GB2312" w:cs="仿宋_GB2312"/>
          <w:color w:val="000000"/>
          <w:w w:val="100"/>
          <w:kern w:val="0"/>
          <w:sz w:val="32"/>
          <w:szCs w:val="32"/>
          <w:highlight w:val="none"/>
          <w:shd w:val="clear" w:color="auto" w:fill="FFFFFF"/>
          <w:lang w:val="zh-CN"/>
        </w:rPr>
        <w:t>预算管理。</w:t>
      </w:r>
      <w:r>
        <w:rPr>
          <w:rFonts w:hint="eastAsia" w:ascii="仿宋_GB2312" w:hAnsi="仿宋_GB2312" w:eastAsia="仿宋_GB2312" w:cs="仿宋_GB2312"/>
          <w:color w:val="000000"/>
          <w:w w:val="100"/>
          <w:kern w:val="0"/>
          <w:sz w:val="32"/>
          <w:szCs w:val="32"/>
          <w:highlight w:val="none"/>
          <w:shd w:val="clear" w:color="auto" w:fill="FFFFFF"/>
          <w:lang w:val="en-US" w:eastAsia="zh-CN"/>
        </w:rPr>
        <w:t>自评得分19.45。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default" w:ascii="仿宋_GB2312" w:hAnsi="仿宋_GB2312" w:eastAsia="仿宋_GB2312" w:cs="仿宋_GB2312"/>
          <w:color w:val="000000"/>
          <w:w w:val="100"/>
          <w:kern w:val="0"/>
          <w:sz w:val="32"/>
          <w:szCs w:val="32"/>
          <w:highlight w:val="none"/>
          <w:shd w:val="clear" w:color="auto" w:fill="FFFFFF"/>
          <w:lang w:val="en-US" w:eastAsia="zh-CN"/>
        </w:rPr>
      </w:pPr>
      <w:r>
        <w:rPr>
          <w:rFonts w:hint="eastAsia" w:ascii="仿宋_GB2312" w:hAnsi="仿宋_GB2312" w:eastAsia="仿宋_GB2312" w:cs="仿宋_GB2312"/>
          <w:color w:val="000000"/>
          <w:w w:val="100"/>
          <w:kern w:val="0"/>
          <w:sz w:val="32"/>
          <w:szCs w:val="32"/>
          <w:highlight w:val="none"/>
          <w:shd w:val="clear" w:color="auto" w:fill="FFFFFF"/>
          <w:lang w:val="en-US" w:eastAsia="zh-CN"/>
        </w:rPr>
        <w:t>部门严格按要求编制年初部门预算，年初预算编制的科学性和准确性，已编制项目绩效目标要素完整，全年共计29个项目。已编制项目绩效指标细化量化，绩效目标表中编制有数量指标、质量指标、成本指标、效益指标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320" w:firstLineChars="100"/>
        <w:contextualSpacing/>
        <w:jc w:val="both"/>
        <w:textAlignment w:val="auto"/>
        <w:outlineLvl w:val="9"/>
        <w:rPr>
          <w:rFonts w:hint="eastAsia" w:ascii="仿宋_GB2312" w:hAnsi="仿宋_GB2312" w:eastAsia="仿宋_GB2312" w:cs="仿宋_GB2312"/>
          <w:color w:val="000000"/>
          <w:w w:val="100"/>
          <w:kern w:val="0"/>
          <w:sz w:val="32"/>
          <w:szCs w:val="32"/>
          <w:highlight w:val="none"/>
          <w:shd w:val="clear" w:color="auto" w:fill="FFFFFF"/>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仿宋_GB2312" w:hAnsi="仿宋_GB2312" w:eastAsia="仿宋_GB2312" w:cs="仿宋_GB2312"/>
          <w:color w:val="000000"/>
          <w:w w:val="100"/>
          <w:kern w:val="0"/>
          <w:sz w:val="32"/>
          <w:szCs w:val="32"/>
          <w:highlight w:val="none"/>
          <w:shd w:val="clear" w:color="auto" w:fill="FFFFFF"/>
          <w:lang w:val="zh-CN"/>
        </w:rPr>
      </w:pPr>
      <w:r>
        <w:rPr>
          <w:rFonts w:hint="eastAsia" w:ascii="仿宋_GB2312" w:hAnsi="仿宋_GB2312" w:eastAsia="仿宋_GB2312" w:cs="仿宋_GB2312"/>
          <w:color w:val="000000"/>
          <w:w w:val="100"/>
          <w:kern w:val="0"/>
          <w:sz w:val="32"/>
          <w:szCs w:val="32"/>
          <w:highlight w:val="none"/>
          <w:shd w:val="clear" w:color="auto" w:fill="FFFFFF"/>
          <w:lang w:val="en-US" w:eastAsia="zh-CN"/>
        </w:rPr>
        <w:t>3.</w:t>
      </w:r>
      <w:r>
        <w:rPr>
          <w:rFonts w:hint="eastAsia" w:ascii="仿宋_GB2312" w:hAnsi="仿宋_GB2312" w:eastAsia="仿宋_GB2312" w:cs="仿宋_GB2312"/>
          <w:color w:val="000000"/>
          <w:w w:val="100"/>
          <w:kern w:val="0"/>
          <w:sz w:val="32"/>
          <w:szCs w:val="32"/>
          <w:highlight w:val="none"/>
          <w:shd w:val="clear" w:color="auto" w:fill="FFFFFF"/>
          <w:lang w:val="zh-CN"/>
        </w:rPr>
        <w:t>财务管理。</w:t>
      </w:r>
      <w:r>
        <w:rPr>
          <w:rFonts w:hint="eastAsia" w:ascii="仿宋_GB2312" w:hAnsi="仿宋_GB2312" w:eastAsia="仿宋_GB2312" w:cs="仿宋_GB2312"/>
          <w:color w:val="000000"/>
          <w:w w:val="100"/>
          <w:kern w:val="0"/>
          <w:sz w:val="32"/>
          <w:szCs w:val="32"/>
          <w:highlight w:val="none"/>
          <w:shd w:val="clear" w:color="auto" w:fill="FFFFFF"/>
          <w:lang w:val="en-US" w:eastAsia="zh-CN"/>
        </w:rPr>
        <w:t>自评得分10分。</w:t>
      </w:r>
      <w:r>
        <w:rPr>
          <w:rFonts w:hint="eastAsia" w:ascii="仿宋_GB2312" w:hAnsi="仿宋_GB2312" w:eastAsia="仿宋_GB2312" w:cs="仿宋_GB2312"/>
          <w:color w:val="000000"/>
          <w:w w:val="100"/>
          <w:kern w:val="0"/>
          <w:sz w:val="32"/>
          <w:szCs w:val="32"/>
          <w:highlight w:val="none"/>
          <w:shd w:val="clear" w:color="auto" w:fill="FFFFFF"/>
          <w:lang w:val="zh-CN"/>
        </w:rPr>
        <w:t>财务管理制度</w:t>
      </w:r>
      <w:r>
        <w:rPr>
          <w:rFonts w:hint="eastAsia" w:ascii="仿宋_GB2312" w:hAnsi="仿宋_GB2312" w:eastAsia="仿宋_GB2312" w:cs="仿宋_GB2312"/>
          <w:color w:val="000000"/>
          <w:w w:val="100"/>
          <w:kern w:val="0"/>
          <w:sz w:val="32"/>
          <w:szCs w:val="32"/>
          <w:highlight w:val="none"/>
          <w:shd w:val="clear" w:color="auto" w:fill="FFFFFF"/>
          <w:lang w:val="en-US" w:eastAsia="zh-CN"/>
        </w:rPr>
        <w:t>完善</w:t>
      </w:r>
      <w:r>
        <w:rPr>
          <w:rFonts w:hint="eastAsia" w:ascii="仿宋_GB2312" w:hAnsi="仿宋_GB2312" w:eastAsia="仿宋_GB2312" w:cs="仿宋_GB2312"/>
          <w:color w:val="000000"/>
          <w:w w:val="100"/>
          <w:kern w:val="0"/>
          <w:sz w:val="32"/>
          <w:szCs w:val="32"/>
          <w:highlight w:val="none"/>
          <w:shd w:val="clear" w:color="auto" w:fill="FFFFFF"/>
          <w:lang w:val="zh-CN"/>
        </w:rPr>
        <w:t>、财务岗位</w:t>
      </w:r>
      <w:r>
        <w:rPr>
          <w:rFonts w:hint="eastAsia" w:ascii="仿宋_GB2312" w:hAnsi="仿宋_GB2312" w:eastAsia="仿宋_GB2312" w:cs="仿宋_GB2312"/>
          <w:color w:val="000000"/>
          <w:w w:val="100"/>
          <w:kern w:val="0"/>
          <w:sz w:val="32"/>
          <w:szCs w:val="32"/>
          <w:highlight w:val="none"/>
          <w:shd w:val="clear" w:color="auto" w:fill="FFFFFF"/>
          <w:lang w:val="en-US" w:eastAsia="zh-CN"/>
        </w:rPr>
        <w:t>明确职责权限，并严格实行不相容岗位分离</w:t>
      </w:r>
      <w:r>
        <w:rPr>
          <w:rFonts w:hint="eastAsia" w:ascii="仿宋_GB2312" w:hAnsi="仿宋_GB2312" w:eastAsia="仿宋_GB2312" w:cs="仿宋_GB2312"/>
          <w:color w:val="000000"/>
          <w:w w:val="100"/>
          <w:kern w:val="0"/>
          <w:sz w:val="32"/>
          <w:szCs w:val="32"/>
          <w:highlight w:val="none"/>
          <w:shd w:val="clear" w:color="auto" w:fill="FFFFFF"/>
          <w:lang w:val="zh-CN"/>
        </w:rPr>
        <w:t>、资金使用规范。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仿宋_GB2312" w:hAnsi="仿宋_GB2312" w:eastAsia="仿宋_GB2312" w:cs="仿宋_GB2312"/>
          <w:color w:val="000000"/>
          <w:w w:val="100"/>
          <w:kern w:val="0"/>
          <w:sz w:val="32"/>
          <w:szCs w:val="32"/>
          <w:highlight w:val="none"/>
          <w:shd w:val="clear" w:color="auto" w:fill="FFFFFF"/>
          <w:lang w:val="zh-CN"/>
        </w:rPr>
      </w:pPr>
      <w:r>
        <w:rPr>
          <w:rFonts w:hint="eastAsia" w:ascii="仿宋_GB2312" w:hAnsi="仿宋_GB2312" w:eastAsia="仿宋_GB2312" w:cs="仿宋_GB2312"/>
          <w:color w:val="000000"/>
          <w:w w:val="100"/>
          <w:kern w:val="0"/>
          <w:sz w:val="32"/>
          <w:szCs w:val="32"/>
          <w:highlight w:val="none"/>
          <w:shd w:val="clear" w:color="auto" w:fill="FFFFFF"/>
          <w:lang w:val="en-US" w:eastAsia="zh-CN"/>
        </w:rPr>
        <w:t>4.</w:t>
      </w:r>
      <w:r>
        <w:rPr>
          <w:rFonts w:hint="eastAsia" w:ascii="仿宋_GB2312" w:hAnsi="仿宋_GB2312" w:eastAsia="仿宋_GB2312" w:cs="仿宋_GB2312"/>
          <w:color w:val="000000"/>
          <w:w w:val="100"/>
          <w:kern w:val="0"/>
          <w:sz w:val="32"/>
          <w:szCs w:val="32"/>
          <w:highlight w:val="none"/>
          <w:shd w:val="clear" w:color="auto" w:fill="FFFFFF"/>
          <w:lang w:val="zh-CN"/>
        </w:rPr>
        <w:t>资产管理。</w:t>
      </w:r>
      <w:r>
        <w:rPr>
          <w:rFonts w:hint="eastAsia" w:ascii="仿宋_GB2312" w:hAnsi="仿宋_GB2312" w:eastAsia="仿宋_GB2312" w:cs="仿宋_GB2312"/>
          <w:color w:val="000000"/>
          <w:w w:val="100"/>
          <w:kern w:val="0"/>
          <w:sz w:val="32"/>
          <w:szCs w:val="32"/>
          <w:highlight w:val="none"/>
          <w:shd w:val="clear" w:color="auto" w:fill="FFFFFF"/>
          <w:lang w:val="en-US" w:eastAsia="zh-CN"/>
        </w:rPr>
        <w:t>自评得分9分。无闲置资产，资产使用率高</w:t>
      </w:r>
      <w:r>
        <w:rPr>
          <w:rFonts w:hint="eastAsia" w:ascii="仿宋_GB2312" w:hAnsi="仿宋_GB2312" w:eastAsia="仿宋_GB2312" w:cs="仿宋_GB2312"/>
          <w:color w:val="000000"/>
          <w:w w:val="100"/>
          <w:kern w:val="0"/>
          <w:sz w:val="32"/>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default" w:ascii="仿宋_GB2312" w:hAnsi="仿宋_GB2312" w:eastAsia="仿宋_GB2312" w:cs="仿宋_GB2312"/>
          <w:color w:val="000000"/>
          <w:w w:val="100"/>
          <w:kern w:val="0"/>
          <w:sz w:val="32"/>
          <w:szCs w:val="32"/>
          <w:highlight w:val="none"/>
          <w:shd w:val="clear" w:color="auto" w:fill="FFFFFF"/>
          <w:lang w:val="en-US" w:eastAsia="zh-CN"/>
        </w:rPr>
      </w:pPr>
      <w:r>
        <w:rPr>
          <w:rFonts w:hint="eastAsia" w:ascii="仿宋_GB2312" w:hAnsi="仿宋_GB2312" w:eastAsia="仿宋_GB2312" w:cs="仿宋_GB2312"/>
          <w:color w:val="000000"/>
          <w:w w:val="100"/>
          <w:kern w:val="0"/>
          <w:sz w:val="32"/>
          <w:szCs w:val="32"/>
          <w:highlight w:val="none"/>
          <w:shd w:val="clear" w:color="auto" w:fill="FFFFFF"/>
          <w:lang w:val="en-US" w:eastAsia="zh-CN"/>
        </w:rPr>
        <w:t>5.</w:t>
      </w:r>
      <w:r>
        <w:rPr>
          <w:rFonts w:hint="eastAsia" w:ascii="仿宋_GB2312" w:hAnsi="仿宋_GB2312" w:eastAsia="仿宋_GB2312" w:cs="仿宋_GB2312"/>
          <w:color w:val="000000"/>
          <w:w w:val="100"/>
          <w:kern w:val="0"/>
          <w:sz w:val="32"/>
          <w:szCs w:val="32"/>
          <w:highlight w:val="none"/>
          <w:shd w:val="clear" w:color="auto" w:fill="FFFFFF"/>
          <w:lang w:val="zh-CN"/>
        </w:rPr>
        <w:t>采购管理。</w:t>
      </w:r>
      <w:r>
        <w:rPr>
          <w:rFonts w:hint="eastAsia" w:ascii="仿宋_GB2312" w:hAnsi="仿宋_GB2312" w:eastAsia="仿宋_GB2312" w:cs="仿宋_GB2312"/>
          <w:color w:val="000000"/>
          <w:w w:val="100"/>
          <w:kern w:val="0"/>
          <w:sz w:val="32"/>
          <w:szCs w:val="32"/>
          <w:highlight w:val="none"/>
          <w:shd w:val="clear" w:color="auto" w:fill="FFFFFF"/>
          <w:lang w:val="en-US" w:eastAsia="zh-CN"/>
        </w:rPr>
        <w:t>自评得分6分。全年无采购活动。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b w:val="0"/>
          <w:bCs w:val="0"/>
          <w:color w:val="000000"/>
          <w:w w:val="100"/>
          <w:kern w:val="0"/>
          <w:sz w:val="32"/>
          <w:szCs w:val="32"/>
          <w:highlight w:val="none"/>
          <w:shd w:val="clear" w:color="auto" w:fill="FFFFFF"/>
          <w:lang w:val="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（二）部门预算项目绩效分析。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b w:val="0"/>
          <w:bCs w:val="0"/>
          <w:w w:val="100"/>
          <w:sz w:val="32"/>
          <w:szCs w:val="32"/>
          <w:highlight w:val="none"/>
          <w:u w:val="none"/>
          <w:lang w:val="zh-CN" w:eastAsia="zh-CN"/>
        </w:rPr>
      </w:pPr>
      <w:r>
        <w:rPr>
          <w:rFonts w:hint="eastAsia" w:ascii="仿宋_GB2312" w:hAnsi="仿宋_GB2312" w:eastAsia="仿宋_GB2312" w:cs="仿宋_GB2312"/>
          <w:b w:val="0"/>
          <w:bCs w:val="0"/>
          <w:w w:val="100"/>
          <w:sz w:val="32"/>
          <w:szCs w:val="32"/>
          <w:highlight w:val="none"/>
          <w:u w:val="none"/>
          <w:lang w:val="zh-CN" w:eastAsia="zh-CN"/>
        </w:rPr>
        <w:t>项目总数</w:t>
      </w:r>
      <w:r>
        <w:rPr>
          <w:rFonts w:hint="eastAsia" w:ascii="仿宋_GB2312" w:hAnsi="仿宋_GB2312" w:eastAsia="仿宋_GB2312" w:cs="仿宋_GB2312"/>
          <w:b w:val="0"/>
          <w:bCs w:val="0"/>
          <w:w w:val="100"/>
          <w:sz w:val="32"/>
          <w:szCs w:val="32"/>
          <w:highlight w:val="none"/>
          <w:u w:val="none"/>
          <w:lang w:val="en-US" w:eastAsia="zh-CN"/>
        </w:rPr>
        <w:t>29</w:t>
      </w:r>
      <w:r>
        <w:rPr>
          <w:rFonts w:hint="eastAsia" w:ascii="仿宋_GB2312" w:hAnsi="仿宋_GB2312" w:eastAsia="仿宋_GB2312" w:cs="仿宋_GB2312"/>
          <w:b w:val="0"/>
          <w:bCs w:val="0"/>
          <w:w w:val="100"/>
          <w:sz w:val="32"/>
          <w:szCs w:val="32"/>
          <w:highlight w:val="none"/>
          <w:u w:val="none"/>
          <w:lang w:val="zh-CN" w:eastAsia="zh-CN"/>
        </w:rPr>
        <w:t>个，涉及预算总金额</w:t>
      </w:r>
      <w:r>
        <w:rPr>
          <w:rFonts w:hint="eastAsia" w:ascii="仿宋_GB2312" w:hAnsi="仿宋_GB2312" w:eastAsia="仿宋_GB2312" w:cs="仿宋_GB2312"/>
          <w:b w:val="0"/>
          <w:bCs w:val="0"/>
          <w:w w:val="100"/>
          <w:sz w:val="32"/>
          <w:szCs w:val="32"/>
          <w:highlight w:val="none"/>
          <w:u w:val="none"/>
          <w:lang w:val="en-US" w:eastAsia="zh-CN"/>
        </w:rPr>
        <w:t xml:space="preserve"> 1040.18 </w:t>
      </w:r>
      <w:r>
        <w:rPr>
          <w:rFonts w:hint="eastAsia" w:ascii="仿宋_GB2312" w:hAnsi="仿宋_GB2312" w:eastAsia="仿宋_GB2312" w:cs="仿宋_GB2312"/>
          <w:b w:val="0"/>
          <w:bCs w:val="0"/>
          <w:w w:val="100"/>
          <w:sz w:val="32"/>
          <w:szCs w:val="32"/>
          <w:highlight w:val="none"/>
          <w:u w:val="none"/>
          <w:lang w:val="zh-CN" w:eastAsia="zh-CN"/>
        </w:rPr>
        <w:t>万元，1—1</w:t>
      </w:r>
      <w:r>
        <w:rPr>
          <w:rFonts w:hint="eastAsia" w:ascii="仿宋_GB2312" w:hAnsi="仿宋_GB2312" w:eastAsia="仿宋_GB2312" w:cs="仿宋_GB2312"/>
          <w:b w:val="0"/>
          <w:bCs w:val="0"/>
          <w:w w:val="100"/>
          <w:sz w:val="32"/>
          <w:szCs w:val="32"/>
          <w:highlight w:val="none"/>
          <w:u w:val="none"/>
          <w:lang w:val="en-US" w:eastAsia="zh-CN"/>
        </w:rPr>
        <w:t>2</w:t>
      </w:r>
      <w:r>
        <w:rPr>
          <w:rFonts w:hint="eastAsia" w:ascii="仿宋_GB2312" w:hAnsi="仿宋_GB2312" w:eastAsia="仿宋_GB2312" w:cs="仿宋_GB2312"/>
          <w:b w:val="0"/>
          <w:bCs w:val="0"/>
          <w:w w:val="100"/>
          <w:sz w:val="32"/>
          <w:szCs w:val="32"/>
          <w:highlight w:val="none"/>
          <w:u w:val="none"/>
          <w:lang w:val="zh-CN" w:eastAsia="zh-CN"/>
        </w:rPr>
        <w:t>月预算执行总体进度为</w:t>
      </w:r>
      <w:r>
        <w:rPr>
          <w:rFonts w:hint="eastAsia" w:ascii="仿宋_GB2312" w:hAnsi="仿宋_GB2312" w:eastAsia="仿宋_GB2312" w:cs="仿宋_GB2312"/>
          <w:b w:val="0"/>
          <w:bCs w:val="0"/>
          <w:w w:val="100"/>
          <w:sz w:val="32"/>
          <w:szCs w:val="32"/>
          <w:highlight w:val="none"/>
          <w:u w:val="none"/>
          <w:lang w:val="en-US" w:eastAsia="zh-CN"/>
        </w:rPr>
        <w:t>100</w:t>
      </w:r>
      <w:r>
        <w:rPr>
          <w:rFonts w:hint="eastAsia" w:ascii="仿宋_GB2312" w:hAnsi="仿宋_GB2312" w:eastAsia="仿宋_GB2312" w:cs="仿宋_GB2312"/>
          <w:b w:val="0"/>
          <w:bCs w:val="0"/>
          <w:w w:val="100"/>
          <w:sz w:val="32"/>
          <w:szCs w:val="32"/>
          <w:highlight w:val="none"/>
          <w:u w:val="none"/>
          <w:lang w:val="zh-CN" w:eastAsia="zh-CN"/>
        </w:rPr>
        <w:t>%，其中：预算结余率大于</w:t>
      </w:r>
      <w:r>
        <w:rPr>
          <w:rFonts w:hint="eastAsia" w:ascii="仿宋_GB2312" w:hAnsi="仿宋_GB2312" w:eastAsia="仿宋_GB2312" w:cs="仿宋_GB2312"/>
          <w:b w:val="0"/>
          <w:bCs w:val="0"/>
          <w:w w:val="100"/>
          <w:sz w:val="32"/>
          <w:szCs w:val="32"/>
          <w:highlight w:val="none"/>
          <w:u w:val="none"/>
          <w:lang w:val="en-US" w:eastAsia="zh-CN"/>
        </w:rPr>
        <w:t>10%</w:t>
      </w:r>
      <w:r>
        <w:rPr>
          <w:rFonts w:hint="eastAsia" w:ascii="仿宋_GB2312" w:hAnsi="仿宋_GB2312" w:eastAsia="仿宋_GB2312" w:cs="仿宋_GB2312"/>
          <w:b w:val="0"/>
          <w:bCs w:val="0"/>
          <w:w w:val="100"/>
          <w:sz w:val="32"/>
          <w:szCs w:val="32"/>
          <w:highlight w:val="none"/>
          <w:u w:val="none"/>
          <w:lang w:val="zh-CN" w:eastAsia="zh-CN"/>
        </w:rPr>
        <w:t>的项目共计</w:t>
      </w:r>
      <w:r>
        <w:rPr>
          <w:rFonts w:hint="eastAsia" w:ascii="仿宋_GB2312" w:hAnsi="仿宋_GB2312" w:eastAsia="仿宋_GB2312" w:cs="仿宋_GB2312"/>
          <w:b w:val="0"/>
          <w:bCs w:val="0"/>
          <w:w w:val="100"/>
          <w:sz w:val="32"/>
          <w:szCs w:val="32"/>
          <w:highlight w:val="none"/>
          <w:u w:val="none"/>
          <w:lang w:val="en-US" w:eastAsia="zh-CN"/>
        </w:rPr>
        <w:t>0</w:t>
      </w:r>
      <w:r>
        <w:rPr>
          <w:rFonts w:hint="eastAsia" w:ascii="仿宋_GB2312" w:hAnsi="仿宋_GB2312" w:eastAsia="仿宋_GB2312" w:cs="仿宋_GB2312"/>
          <w:b w:val="0"/>
          <w:bCs w:val="0"/>
          <w:w w:val="100"/>
          <w:sz w:val="32"/>
          <w:szCs w:val="32"/>
          <w:highlight w:val="none"/>
          <w:u w:val="none"/>
          <w:lang w:val="zh-CN" w:eastAsia="zh-CN"/>
        </w:rPr>
        <w:t>个。</w:t>
      </w:r>
    </w:p>
    <w:p>
      <w:pPr>
        <w:ind w:firstLine="640" w:firstLineChars="200"/>
        <w:rPr>
          <w:rFonts w:hint="default" w:ascii="仿宋_GB2312" w:hAnsi="仿宋_GB2312" w:eastAsia="仿宋_GB2312" w:cs="仿宋_GB2312"/>
          <w:color w:val="000000"/>
          <w:w w:val="100"/>
          <w:kern w:val="0"/>
          <w:sz w:val="32"/>
          <w:szCs w:val="32"/>
          <w:highlight w:val="none"/>
          <w:shd w:val="clear" w:color="auto" w:fill="FFFFFF"/>
          <w:lang w:val="en-US" w:eastAsia="zh-CN"/>
        </w:rPr>
      </w:pPr>
      <w:r>
        <w:rPr>
          <w:rFonts w:hint="eastAsia" w:ascii="仿宋_GB2312" w:hAnsi="仿宋_GB2312" w:eastAsia="仿宋_GB2312" w:cs="仿宋_GB2312"/>
          <w:b w:val="0"/>
          <w:bCs w:val="0"/>
          <w:w w:val="100"/>
          <w:sz w:val="32"/>
          <w:szCs w:val="32"/>
          <w:highlight w:val="none"/>
          <w:u w:val="none"/>
          <w:lang w:val="en-US" w:eastAsia="zh-CN"/>
        </w:rPr>
        <w:t>1.</w:t>
      </w:r>
      <w:r>
        <w:rPr>
          <w:rFonts w:hint="eastAsia" w:ascii="仿宋_GB2312" w:hAnsi="仿宋_GB2312" w:eastAsia="仿宋_GB2312" w:cs="仿宋_GB2312"/>
          <w:b w:val="0"/>
          <w:bCs w:val="0"/>
          <w:w w:val="100"/>
          <w:sz w:val="32"/>
          <w:szCs w:val="32"/>
          <w:highlight w:val="none"/>
          <w:u w:val="none"/>
          <w:lang w:val="zh-CN" w:eastAsia="zh-CN"/>
        </w:rPr>
        <w:t>项目决策。</w:t>
      </w:r>
      <w:r>
        <w:rPr>
          <w:rFonts w:hint="eastAsia" w:ascii="仿宋_GB2312" w:hAnsi="仿宋_GB2312" w:eastAsia="仿宋_GB2312" w:cs="仿宋_GB2312"/>
          <w:color w:val="000000"/>
          <w:w w:val="100"/>
          <w:kern w:val="0"/>
          <w:sz w:val="32"/>
          <w:szCs w:val="32"/>
          <w:highlight w:val="none"/>
          <w:shd w:val="clear" w:color="auto" w:fill="FFFFFF"/>
          <w:lang w:val="zh-CN" w:eastAsia="zh-CN"/>
        </w:rPr>
        <w:t>围绕决策程序、目标设置、项目入库进行绩效分析。</w:t>
      </w:r>
      <w:r>
        <w:rPr>
          <w:rFonts w:hint="eastAsia" w:ascii="仿宋_GB2312" w:hAnsi="仿宋_GB2312" w:eastAsia="仿宋_GB2312" w:cs="仿宋_GB2312"/>
          <w:color w:val="000000"/>
          <w:w w:val="100"/>
          <w:kern w:val="0"/>
          <w:sz w:val="32"/>
          <w:szCs w:val="32"/>
          <w:highlight w:val="none"/>
          <w:shd w:val="clear" w:color="auto" w:fill="FFFFFF"/>
          <w:lang w:val="en-US" w:eastAsia="zh-CN"/>
        </w:rPr>
        <w:t>部门预算项目设立按规定履行评估论证、申报程序。自评得分12分。</w:t>
      </w:r>
    </w:p>
    <w:p>
      <w:pPr>
        <w:ind w:firstLine="640" w:firstLineChars="200"/>
        <w:rPr>
          <w:rFonts w:hint="eastAsia" w:ascii="仿宋_GB2312" w:hAnsi="仿宋_GB2312" w:eastAsia="仿宋_GB2312" w:cs="仿宋_GB2312"/>
          <w:color w:val="000000"/>
          <w:w w:val="100"/>
          <w:kern w:val="0"/>
          <w:sz w:val="32"/>
          <w:szCs w:val="32"/>
          <w:highlight w:val="none"/>
          <w:shd w:val="clear" w:color="auto" w:fill="FFFFFF"/>
          <w:lang w:val="en-US" w:eastAsia="zh-CN"/>
        </w:rPr>
      </w:pPr>
      <w:r>
        <w:rPr>
          <w:rFonts w:hint="eastAsia" w:ascii="仿宋_GB2312" w:hAnsi="仿宋_GB2312" w:eastAsia="仿宋_GB2312" w:cs="仿宋_GB2312"/>
          <w:b w:val="0"/>
          <w:bCs w:val="0"/>
          <w:w w:val="100"/>
          <w:sz w:val="32"/>
          <w:szCs w:val="32"/>
          <w:highlight w:val="none"/>
          <w:u w:val="none"/>
          <w:lang w:val="en-US" w:eastAsia="zh-CN"/>
        </w:rPr>
        <w:t>2.项目执行</w:t>
      </w:r>
      <w:r>
        <w:rPr>
          <w:rFonts w:hint="eastAsia" w:ascii="仿宋_GB2312" w:hAnsi="仿宋_GB2312" w:eastAsia="仿宋_GB2312" w:cs="仿宋_GB2312"/>
          <w:b w:val="0"/>
          <w:bCs w:val="0"/>
          <w:w w:val="100"/>
          <w:sz w:val="32"/>
          <w:szCs w:val="32"/>
          <w:highlight w:val="none"/>
          <w:u w:val="none"/>
          <w:lang w:val="zh-CN" w:eastAsia="zh-CN"/>
        </w:rPr>
        <w:t>。</w:t>
      </w:r>
      <w:r>
        <w:rPr>
          <w:rFonts w:hint="eastAsia" w:ascii="仿宋_GB2312" w:hAnsi="仿宋_GB2312" w:eastAsia="仿宋_GB2312" w:cs="仿宋_GB2312"/>
          <w:color w:val="000000"/>
          <w:w w:val="100"/>
          <w:kern w:val="0"/>
          <w:sz w:val="32"/>
          <w:szCs w:val="32"/>
          <w:highlight w:val="none"/>
          <w:shd w:val="clear" w:color="auto" w:fill="FFFFFF"/>
          <w:lang w:val="en-US" w:eastAsia="zh-CN"/>
        </w:rPr>
        <w:t>门预算项目绩效目标与计划期内的任务量、预算安排的资金量匹配情况，绩效目标设置较科学合理、规范完整、量化细化、预算与支出匹配。自评得分12分</w:t>
      </w:r>
      <w:r>
        <w:rPr>
          <w:rFonts w:hint="eastAsia" w:ascii="仿宋_GB2312" w:hAnsi="仿宋_GB2312" w:eastAsia="仿宋_GB2312" w:cs="仿宋_GB2312"/>
          <w:color w:val="000000"/>
          <w:w w:val="100"/>
          <w:kern w:val="0"/>
          <w:sz w:val="32"/>
          <w:szCs w:val="32"/>
          <w:highlight w:val="none"/>
          <w:shd w:val="clear" w:color="auto" w:fill="FFFFFF"/>
          <w:lang w:val="zh-CN" w:eastAsia="zh-CN"/>
        </w:rPr>
        <w:t>。</w:t>
      </w:r>
    </w:p>
    <w:p>
      <w:pPr>
        <w:ind w:firstLine="640" w:firstLineChars="200"/>
        <w:rPr>
          <w:rFonts w:hint="eastAsia" w:ascii="仿宋_GB2312" w:hAnsi="仿宋_GB2312" w:eastAsia="仿宋_GB2312" w:cs="仿宋_GB2312"/>
          <w:b w:val="0"/>
          <w:bCs w:val="0"/>
          <w:color w:val="333333"/>
          <w:w w:val="100"/>
          <w:sz w:val="32"/>
          <w:szCs w:val="32"/>
          <w:highlight w:val="none"/>
          <w:u w:val="none"/>
          <w:shd w:val="clear" w:color="auto" w:fill="auto"/>
          <w:lang w:bidi="ar"/>
        </w:rPr>
      </w:pPr>
      <w:r>
        <w:rPr>
          <w:rFonts w:hint="eastAsia" w:ascii="仿宋_GB2312" w:hAnsi="仿宋_GB2312" w:eastAsia="仿宋_GB2312" w:cs="仿宋_GB2312"/>
          <w:b w:val="0"/>
          <w:bCs w:val="0"/>
          <w:w w:val="100"/>
          <w:sz w:val="32"/>
          <w:szCs w:val="32"/>
          <w:highlight w:val="none"/>
          <w:u w:val="none"/>
          <w:lang w:val="en-US" w:eastAsia="zh-CN"/>
        </w:rPr>
        <w:t>3.</w:t>
      </w:r>
      <w:r>
        <w:rPr>
          <w:rFonts w:hint="eastAsia" w:ascii="仿宋_GB2312" w:hAnsi="仿宋_GB2312" w:eastAsia="仿宋_GB2312" w:cs="仿宋_GB2312"/>
          <w:b w:val="0"/>
          <w:bCs w:val="0"/>
          <w:w w:val="100"/>
          <w:sz w:val="32"/>
          <w:szCs w:val="32"/>
          <w:highlight w:val="none"/>
          <w:u w:val="none"/>
          <w:lang w:val="zh-CN" w:eastAsia="zh-CN"/>
        </w:rPr>
        <w:t>目标实现。</w:t>
      </w:r>
      <w:r>
        <w:rPr>
          <w:rFonts w:hint="eastAsia" w:ascii="仿宋_GB2312" w:hAnsi="仿宋_GB2312" w:eastAsia="仿宋_GB2312" w:cs="仿宋_GB2312"/>
          <w:color w:val="000000"/>
          <w:w w:val="100"/>
          <w:kern w:val="0"/>
          <w:sz w:val="32"/>
          <w:szCs w:val="32"/>
          <w:highlight w:val="none"/>
          <w:shd w:val="clear" w:color="auto" w:fill="FFFFFF"/>
          <w:lang w:val="en-US" w:eastAsia="zh-CN"/>
        </w:rPr>
        <w:t>部门预算项目在规定时间实现既定目标。自评得分11分。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仿宋_GB2312" w:hAnsi="仿宋_GB2312" w:eastAsia="仿宋_GB2312" w:cs="仿宋_GB2312"/>
          <w:b w:val="0"/>
          <w:bCs w:val="0"/>
          <w:color w:val="000000"/>
          <w:w w:val="100"/>
          <w:kern w:val="0"/>
          <w:sz w:val="32"/>
          <w:szCs w:val="32"/>
          <w:highlight w:val="none"/>
          <w:shd w:val="clear" w:color="auto" w:fill="FFFFFF"/>
          <w:lang w:val="en-US"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（三）</w:t>
      </w:r>
      <w:r>
        <w:rPr>
          <w:rFonts w:hint="eastAsia" w:ascii="楷体_GB2312" w:hAnsi="楷体_GB2312" w:eastAsia="楷体_GB2312" w:cs="楷体_GB2312"/>
          <w:b w:val="0"/>
          <w:bCs w:val="0"/>
          <w:color w:val="000000"/>
          <w:w w:val="100"/>
          <w:kern w:val="0"/>
          <w:sz w:val="32"/>
          <w:szCs w:val="32"/>
          <w:highlight w:val="none"/>
          <w:shd w:val="clear" w:color="auto" w:fill="FFFFFF"/>
          <w:lang w:val="zh-CN" w:eastAsia="zh-CN"/>
        </w:rPr>
        <w:t>重点领域</w:t>
      </w:r>
      <w:r>
        <w:rPr>
          <w:rFonts w:hint="eastAsia" w:ascii="楷体_GB2312" w:hAnsi="楷体_GB2312" w:eastAsia="楷体_GB2312" w:cs="楷体_GB2312"/>
          <w:b w:val="0"/>
          <w:bCs w:val="0"/>
          <w:color w:val="000000"/>
          <w:w w:val="100"/>
          <w:kern w:val="0"/>
          <w:sz w:val="32"/>
          <w:szCs w:val="32"/>
          <w:highlight w:val="none"/>
          <w:shd w:val="clear" w:color="auto" w:fill="FFFFFF"/>
          <w:lang w:val="zh-CN"/>
        </w:rPr>
        <w:t>绩效分析</w:t>
      </w:r>
      <w:r>
        <w:rPr>
          <w:rFonts w:hint="eastAsia" w:ascii="楷体_GB2312" w:hAnsi="楷体_GB2312" w:eastAsia="楷体_GB2312" w:cs="楷体_GB2312"/>
          <w:b w:val="0"/>
          <w:bCs w:val="0"/>
          <w:color w:val="000000"/>
          <w:w w:val="100"/>
          <w:kern w:val="0"/>
          <w:sz w:val="32"/>
          <w:szCs w:val="32"/>
          <w:highlight w:val="none"/>
          <w:shd w:val="clear" w:color="auto" w:fill="FFFFFF"/>
          <w:lang w:val="zh-CN" w:eastAsia="zh-CN"/>
        </w:rPr>
        <w:t>。</w:t>
      </w:r>
      <w:r>
        <w:rPr>
          <w:rFonts w:hint="eastAsia" w:ascii="仿宋_GB2312" w:hAnsi="仿宋_GB2312" w:eastAsia="仿宋_GB2312" w:cs="仿宋_GB2312"/>
          <w:b w:val="0"/>
          <w:bCs w:val="0"/>
          <w:w w:val="100"/>
          <w:sz w:val="32"/>
          <w:szCs w:val="32"/>
          <w:highlight w:val="none"/>
          <w:u w:val="none"/>
        </w:rPr>
        <w:t>部门</w:t>
      </w:r>
      <w:r>
        <w:rPr>
          <w:rFonts w:hint="eastAsia" w:ascii="仿宋_GB2312" w:hAnsi="仿宋_GB2312" w:eastAsia="仿宋_GB2312" w:cs="仿宋_GB2312"/>
          <w:b w:val="0"/>
          <w:bCs w:val="0"/>
          <w:w w:val="100"/>
          <w:sz w:val="32"/>
          <w:szCs w:val="32"/>
          <w:u w:val="none"/>
          <w:lang w:val="en-US" w:eastAsia="zh-CN"/>
        </w:rPr>
        <w:t>2024年度未</w:t>
      </w:r>
      <w:r>
        <w:rPr>
          <w:rFonts w:hint="eastAsia" w:ascii="仿宋_GB2312" w:hAnsi="仿宋_GB2312" w:eastAsia="仿宋_GB2312" w:cs="仿宋_GB2312"/>
          <w:b w:val="0"/>
          <w:bCs w:val="0"/>
          <w:w w:val="100"/>
          <w:sz w:val="32"/>
          <w:szCs w:val="32"/>
          <w:highlight w:val="none"/>
          <w:u w:val="none"/>
        </w:rPr>
        <w:t>涉及国有资本、行政事业性国有资产、债券</w:t>
      </w:r>
      <w:r>
        <w:rPr>
          <w:rFonts w:hint="eastAsia" w:ascii="仿宋_GB2312" w:hAnsi="仿宋_GB2312" w:eastAsia="仿宋_GB2312" w:cs="仿宋_GB2312"/>
          <w:b w:val="0"/>
          <w:bCs w:val="0"/>
          <w:w w:val="100"/>
          <w:sz w:val="32"/>
          <w:szCs w:val="32"/>
          <w:highlight w:val="none"/>
          <w:u w:val="none"/>
          <w:lang w:eastAsia="zh-CN"/>
        </w:rPr>
        <w:t>资金、政府采购和政府购买服务等重点领域</w:t>
      </w:r>
      <w:r>
        <w:rPr>
          <w:rFonts w:hint="eastAsia" w:ascii="仿宋_GB2312" w:hAnsi="仿宋_GB2312" w:eastAsia="仿宋_GB2312" w:cs="仿宋_GB2312"/>
          <w:b w:val="0"/>
          <w:bCs w:val="0"/>
          <w:w w:val="100"/>
          <w:sz w:val="32"/>
          <w:szCs w:val="32"/>
          <w:highlight w:val="none"/>
          <w:u w:val="none"/>
        </w:rPr>
        <w:t>的</w:t>
      </w:r>
      <w:r>
        <w:rPr>
          <w:rFonts w:hint="eastAsia" w:ascii="仿宋_GB2312" w:hAnsi="仿宋_GB2312" w:eastAsia="仿宋_GB2312" w:cs="仿宋_GB2312"/>
          <w:b w:val="0"/>
          <w:bCs w:val="0"/>
          <w:w w:val="100"/>
          <w:sz w:val="32"/>
          <w:szCs w:val="32"/>
          <w:highlight w:val="none"/>
          <w:u w:val="none"/>
          <w:lang w:val="en-US" w:eastAsia="zh-CN"/>
        </w:rPr>
        <w:t>项目</w:t>
      </w:r>
      <w:r>
        <w:rPr>
          <w:rFonts w:hint="eastAsia" w:ascii="仿宋_GB2312" w:hAnsi="仿宋_GB2312" w:eastAsia="仿宋_GB2312" w:cs="仿宋_GB2312"/>
          <w:b w:val="0"/>
          <w:bCs w:val="0"/>
          <w:w w:val="100"/>
          <w:sz w:val="32"/>
          <w:szCs w:val="32"/>
          <w:highlight w:val="none"/>
          <w:u w:val="none"/>
          <w:lang w:eastAsia="zh-CN" w:bidi="ar"/>
        </w:rPr>
        <w:t>。</w:t>
      </w:r>
    </w:p>
    <w:p>
      <w:pPr>
        <w:keepNext w:val="0"/>
        <w:keepLines w:val="0"/>
        <w:pageBreakBefore w:val="0"/>
        <w:widowControl w:val="0"/>
        <w:kinsoku/>
        <w:wordWrap/>
        <w:overflowPunct/>
        <w:topLinePunct w:val="0"/>
        <w:autoSpaceDE/>
        <w:autoSpaceDN/>
        <w:bidi w:val="0"/>
        <w:snapToGrid w:val="0"/>
        <w:spacing w:line="570" w:lineRule="exact"/>
        <w:ind w:firstLine="640" w:firstLineChars="200"/>
        <w:jc w:val="both"/>
        <w:textAlignment w:val="auto"/>
        <w:rPr>
          <w:rFonts w:hint="eastAsia" w:ascii="仿宋_GB2312" w:hAnsi="仿宋_GB2312" w:eastAsia="仿宋_GB2312" w:cs="仿宋_GB2312"/>
          <w:b w:val="0"/>
          <w:bCs w:val="0"/>
          <w:w w:val="100"/>
          <w:sz w:val="32"/>
          <w:szCs w:val="32"/>
          <w:highlight w:val="none"/>
          <w:u w:val="none"/>
          <w:lang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（四）绩效结果应用情况。</w:t>
      </w:r>
      <w:r>
        <w:rPr>
          <w:rFonts w:hint="eastAsia" w:ascii="仿宋_GB2312" w:hAnsi="仿宋_GB2312" w:eastAsia="仿宋_GB2312" w:cs="仿宋_GB2312"/>
          <w:b w:val="0"/>
          <w:bCs w:val="0"/>
          <w:w w:val="100"/>
          <w:sz w:val="32"/>
          <w:szCs w:val="32"/>
          <w:highlight w:val="none"/>
          <w:u w:val="none"/>
          <w:lang w:val="en-US" w:eastAsia="zh-CN"/>
        </w:rPr>
        <w:t>部门整体绩效信息与2024年预算公开。将事前绩效评估结果用于调整预算项目、资金规模、支出方向。绩效目标审核中，重点审核及复审未对本部门绩效目标提出修改建议。通过绩效监控而政策优化、改进管理、预算调整、项目调整等重要依据并组织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outlineLvl w:val="9"/>
        <w:rPr>
          <w:rFonts w:hint="eastAsia" w:ascii="黑体" w:hAnsi="黑体" w:eastAsia="黑体" w:cs="黑体"/>
          <w:b w:val="0"/>
          <w:bCs w:val="0"/>
          <w:color w:val="000000"/>
          <w:w w:val="100"/>
          <w:kern w:val="0"/>
          <w:sz w:val="32"/>
          <w:szCs w:val="32"/>
          <w:highlight w:val="none"/>
          <w:shd w:val="clear" w:color="auto" w:fill="FFFFFF"/>
        </w:rPr>
      </w:pPr>
      <w:r>
        <w:rPr>
          <w:rFonts w:hint="eastAsia" w:ascii="黑体" w:hAnsi="黑体" w:eastAsia="黑体" w:cs="黑体"/>
          <w:b w:val="0"/>
          <w:bCs w:val="0"/>
          <w:color w:val="000000"/>
          <w:w w:val="100"/>
          <w:kern w:val="0"/>
          <w:sz w:val="32"/>
          <w:szCs w:val="32"/>
          <w:highlight w:val="none"/>
          <w:shd w:val="clear" w:color="auto" w:fill="FFFFFF"/>
          <w:lang w:eastAsia="zh-CN"/>
        </w:rPr>
        <w:t>四、</w:t>
      </w:r>
      <w:r>
        <w:rPr>
          <w:rFonts w:hint="eastAsia" w:ascii="黑体" w:hAnsi="黑体" w:eastAsia="黑体" w:cs="黑体"/>
          <w:b w:val="0"/>
          <w:bCs w:val="0"/>
          <w:color w:val="000000"/>
          <w:w w:val="100"/>
          <w:kern w:val="0"/>
          <w:sz w:val="32"/>
          <w:szCs w:val="32"/>
          <w:highlight w:val="none"/>
          <w:shd w:val="clear" w:color="auto" w:fill="FFFFFF"/>
        </w:rPr>
        <w:t>评价结论及建议</w:t>
      </w:r>
    </w:p>
    <w:p>
      <w:pPr>
        <w:keepNext w:val="0"/>
        <w:keepLines w:val="0"/>
        <w:pageBreakBefore w:val="0"/>
        <w:kinsoku/>
        <w:wordWrap/>
        <w:overflowPunct/>
        <w:topLinePunct w:val="0"/>
        <w:autoSpaceDE/>
        <w:autoSpaceDN/>
        <w:bidi w:val="0"/>
        <w:adjustRightInd/>
        <w:spacing w:line="576" w:lineRule="exact"/>
        <w:ind w:left="-210" w:leftChars="-100" w:right="-210" w:rightChars="-100" w:firstLine="640" w:firstLineChars="200"/>
        <w:textAlignment w:val="auto"/>
        <w:rPr>
          <w:rFonts w:hint="default" w:ascii="仿宋_GB2312" w:hAnsi="仿宋_GB2312" w:eastAsia="仿宋_GB2312" w:cs="仿宋_GB2312"/>
          <w:b w:val="0"/>
          <w:bCs w:val="0"/>
          <w:w w:val="100"/>
          <w:sz w:val="32"/>
          <w:szCs w:val="32"/>
          <w:highlight w:val="none"/>
          <w:u w:val="none"/>
          <w:lang w:val="en-US"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（一）评价结论。</w:t>
      </w:r>
      <w:r>
        <w:rPr>
          <w:rFonts w:hint="eastAsia" w:ascii="仿宋_GB2312" w:hAnsi="仿宋_GB2312" w:eastAsia="仿宋_GB2312" w:cs="仿宋_GB2312"/>
          <w:b w:val="0"/>
          <w:bCs w:val="0"/>
          <w:w w:val="100"/>
          <w:sz w:val="32"/>
          <w:szCs w:val="32"/>
          <w:highlight w:val="none"/>
          <w:u w:val="none"/>
          <w:lang w:val="zh-CN" w:eastAsia="zh-CN"/>
        </w:rPr>
        <w:t>202</w:t>
      </w:r>
      <w:r>
        <w:rPr>
          <w:rFonts w:hint="eastAsia" w:ascii="仿宋_GB2312" w:hAnsi="仿宋_GB2312" w:eastAsia="仿宋_GB2312" w:cs="仿宋_GB2312"/>
          <w:b w:val="0"/>
          <w:bCs w:val="0"/>
          <w:w w:val="100"/>
          <w:sz w:val="32"/>
          <w:szCs w:val="32"/>
          <w:highlight w:val="none"/>
          <w:u w:val="none"/>
          <w:lang w:val="en-US" w:eastAsia="zh-CN"/>
        </w:rPr>
        <w:t>4</w:t>
      </w:r>
      <w:r>
        <w:rPr>
          <w:rFonts w:hint="eastAsia" w:ascii="仿宋_GB2312" w:hAnsi="仿宋_GB2312" w:eastAsia="仿宋_GB2312" w:cs="仿宋_GB2312"/>
          <w:b w:val="0"/>
          <w:bCs w:val="0"/>
          <w:w w:val="100"/>
          <w:sz w:val="32"/>
          <w:szCs w:val="32"/>
          <w:highlight w:val="none"/>
          <w:u w:val="none"/>
          <w:lang w:val="zh-CN" w:eastAsia="zh-CN"/>
        </w:rPr>
        <w:t>年我单位整体支出效果良好，</w:t>
      </w:r>
      <w:r>
        <w:rPr>
          <w:rFonts w:hint="eastAsia" w:ascii="仿宋_GB2312" w:hAnsi="仿宋_GB2312" w:eastAsia="仿宋_GB2312" w:cs="仿宋_GB2312"/>
          <w:b w:val="0"/>
          <w:bCs w:val="0"/>
          <w:w w:val="100"/>
          <w:sz w:val="32"/>
          <w:szCs w:val="32"/>
          <w:highlight w:val="none"/>
          <w:u w:val="none"/>
          <w:lang w:val="en-US" w:eastAsia="zh-CN"/>
        </w:rPr>
        <w:t>2024年绩效目标设置明确、预算编制较准确、项目预算执行较好</w:t>
      </w:r>
      <w:r>
        <w:rPr>
          <w:rFonts w:hint="eastAsia" w:ascii="仿宋_GB2312" w:hAnsi="仿宋_GB2312" w:eastAsia="仿宋_GB2312" w:cs="仿宋_GB2312"/>
          <w:b w:val="0"/>
          <w:bCs w:val="0"/>
          <w:w w:val="100"/>
          <w:sz w:val="32"/>
          <w:szCs w:val="32"/>
          <w:highlight w:val="none"/>
          <w:u w:val="none"/>
          <w:lang w:val="zh-CN" w:eastAsia="zh-CN"/>
        </w:rPr>
        <w:t>，基本按照计划完成年度工作任务，实现了年度绩效目标，目标设置明确、预算编制较准确。预算执行过程中开展绩效监控，年终开展了绩效自评。预算绩效管理工作取得了明显成效。</w:t>
      </w:r>
      <w:r>
        <w:rPr>
          <w:rFonts w:hint="eastAsia" w:ascii="仿宋_GB2312" w:hAnsi="仿宋_GB2312" w:eastAsia="仿宋_GB2312" w:cs="仿宋_GB2312"/>
          <w:b w:val="0"/>
          <w:bCs w:val="0"/>
          <w:w w:val="100"/>
          <w:sz w:val="32"/>
          <w:szCs w:val="32"/>
          <w:highlight w:val="none"/>
          <w:u w:val="none"/>
          <w:lang w:val="en-US" w:eastAsia="zh-CN"/>
        </w:rPr>
        <w:t>自评得分94.45分。</w:t>
      </w:r>
    </w:p>
    <w:p>
      <w:pPr>
        <w:keepNext w:val="0"/>
        <w:keepLines w:val="0"/>
        <w:pageBreakBefore w:val="0"/>
        <w:numPr>
          <w:ilvl w:val="0"/>
          <w:numId w:val="0"/>
        </w:numPr>
        <w:kinsoku/>
        <w:wordWrap/>
        <w:overflowPunct/>
        <w:topLinePunct w:val="0"/>
        <w:autoSpaceDE/>
        <w:autoSpaceDN/>
        <w:bidi w:val="0"/>
        <w:adjustRightInd/>
        <w:spacing w:line="576" w:lineRule="exact"/>
        <w:ind w:right="-210" w:rightChars="-100" w:firstLine="320" w:firstLineChars="100"/>
        <w:textAlignment w:val="auto"/>
        <w:rPr>
          <w:rFonts w:hint="eastAsia" w:ascii="仿宋_GB2312" w:hAnsi="仿宋_GB2312" w:eastAsia="仿宋_GB2312" w:cs="仿宋_GB2312"/>
          <w:b w:val="0"/>
          <w:bCs w:val="0"/>
          <w:w w:val="100"/>
          <w:sz w:val="32"/>
          <w:szCs w:val="32"/>
          <w:highlight w:val="none"/>
          <w:u w:val="none"/>
          <w:lang w:val="zh-CN"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rPr>
        <w:t>（二）存在问题。</w:t>
      </w:r>
      <w:r>
        <w:rPr>
          <w:rFonts w:hint="eastAsia" w:ascii="仿宋_GB2312" w:hAnsi="仿宋_GB2312" w:eastAsia="仿宋_GB2312" w:cs="仿宋_GB2312"/>
          <w:b w:val="0"/>
          <w:bCs w:val="0"/>
          <w:w w:val="100"/>
          <w:sz w:val="32"/>
          <w:szCs w:val="32"/>
          <w:highlight w:val="none"/>
          <w:u w:val="none"/>
          <w:lang w:val="zh-CN" w:eastAsia="zh-CN"/>
        </w:rPr>
        <w:t>年初</w:t>
      </w:r>
      <w:r>
        <w:rPr>
          <w:rFonts w:hint="eastAsia" w:ascii="仿宋_GB2312" w:hAnsi="仿宋_GB2312" w:eastAsia="仿宋_GB2312" w:cs="仿宋_GB2312"/>
          <w:b w:val="0"/>
          <w:bCs w:val="0"/>
          <w:w w:val="100"/>
          <w:sz w:val="32"/>
          <w:szCs w:val="32"/>
          <w:highlight w:val="none"/>
          <w:u w:val="none"/>
          <w:lang w:val="en-US" w:eastAsia="zh-CN"/>
        </w:rPr>
        <w:t>部门项目预算</w:t>
      </w:r>
      <w:r>
        <w:rPr>
          <w:rFonts w:hint="eastAsia" w:ascii="仿宋_GB2312" w:hAnsi="仿宋_GB2312" w:eastAsia="仿宋_GB2312" w:cs="仿宋_GB2312"/>
          <w:b w:val="0"/>
          <w:bCs w:val="0"/>
          <w:w w:val="100"/>
          <w:sz w:val="32"/>
          <w:szCs w:val="32"/>
          <w:highlight w:val="none"/>
          <w:u w:val="none"/>
          <w:lang w:val="zh-CN" w:eastAsia="zh-CN"/>
        </w:rPr>
        <w:t>与决算</w:t>
      </w:r>
      <w:r>
        <w:rPr>
          <w:rFonts w:hint="eastAsia" w:ascii="仿宋_GB2312" w:hAnsi="仿宋_GB2312" w:eastAsia="仿宋_GB2312" w:cs="仿宋_GB2312"/>
          <w:b w:val="0"/>
          <w:bCs w:val="0"/>
          <w:w w:val="100"/>
          <w:sz w:val="32"/>
          <w:szCs w:val="32"/>
          <w:highlight w:val="none"/>
          <w:u w:val="none"/>
          <w:lang w:val="en-US" w:eastAsia="zh-CN"/>
        </w:rPr>
        <w:t>项目有</w:t>
      </w:r>
      <w:r>
        <w:rPr>
          <w:rFonts w:hint="eastAsia" w:ascii="仿宋_GB2312" w:hAnsi="仿宋_GB2312" w:eastAsia="仿宋_GB2312" w:cs="仿宋_GB2312"/>
          <w:b w:val="0"/>
          <w:bCs w:val="0"/>
          <w:w w:val="100"/>
          <w:sz w:val="32"/>
          <w:szCs w:val="32"/>
          <w:highlight w:val="none"/>
          <w:u w:val="none"/>
          <w:lang w:val="zh-CN" w:eastAsia="zh-CN"/>
        </w:rPr>
        <w:t>偏差。主要是年中新增项目，年初预算编制预估不足。</w:t>
      </w:r>
    </w:p>
    <w:p>
      <w:pPr>
        <w:keepNext w:val="0"/>
        <w:keepLines w:val="0"/>
        <w:pageBreakBefore w:val="0"/>
        <w:widowControl w:val="0"/>
        <w:kinsoku/>
        <w:wordWrap/>
        <w:overflowPunct/>
        <w:topLinePunct w:val="0"/>
        <w:autoSpaceDE/>
        <w:autoSpaceDN/>
        <w:bidi w:val="0"/>
        <w:adjustRightInd w:val="0"/>
        <w:snapToGrid w:val="0"/>
        <w:spacing w:line="570" w:lineRule="exact"/>
        <w:ind w:firstLine="320" w:firstLineChars="100"/>
        <w:contextualSpacing/>
        <w:jc w:val="both"/>
        <w:textAlignment w:val="auto"/>
        <w:outlineLvl w:val="9"/>
        <w:rPr>
          <w:rFonts w:hint="eastAsia" w:ascii="楷体_GB2312" w:hAnsi="楷体_GB2312" w:eastAsia="楷体_GB2312" w:cs="楷体_GB2312"/>
          <w:b w:val="0"/>
          <w:bCs w:val="0"/>
          <w:color w:val="000000"/>
          <w:w w:val="100"/>
          <w:kern w:val="0"/>
          <w:sz w:val="32"/>
          <w:szCs w:val="32"/>
          <w:highlight w:val="none"/>
          <w:shd w:val="clear" w:color="auto" w:fill="FFFFFF"/>
          <w:lang w:val="zh-CN" w:eastAsia="zh-CN"/>
        </w:rPr>
      </w:pPr>
      <w:r>
        <w:rPr>
          <w:rFonts w:hint="eastAsia" w:ascii="楷体_GB2312" w:hAnsi="楷体_GB2312" w:eastAsia="楷体_GB2312" w:cs="楷体_GB2312"/>
          <w:b w:val="0"/>
          <w:bCs w:val="0"/>
          <w:color w:val="000000"/>
          <w:w w:val="100"/>
          <w:kern w:val="0"/>
          <w:sz w:val="32"/>
          <w:szCs w:val="32"/>
          <w:highlight w:val="none"/>
          <w:shd w:val="clear" w:color="auto" w:fill="FFFFFF"/>
          <w:lang w:val="zh-CN" w:eastAsia="zh-CN"/>
        </w:rPr>
        <w:t>（三）改进建议。</w:t>
      </w:r>
    </w:p>
    <w:p>
      <w:pPr>
        <w:keepNext w:val="0"/>
        <w:keepLines w:val="0"/>
        <w:pageBreakBefore w:val="0"/>
        <w:kinsoku/>
        <w:wordWrap/>
        <w:overflowPunct/>
        <w:topLinePunct w:val="0"/>
        <w:autoSpaceDE/>
        <w:autoSpaceDN/>
        <w:bidi w:val="0"/>
        <w:adjustRightInd/>
        <w:spacing w:line="576" w:lineRule="exact"/>
        <w:ind w:left="-210" w:leftChars="-100" w:right="-210" w:rightChars="-100" w:firstLine="640" w:firstLineChars="200"/>
        <w:textAlignment w:val="auto"/>
        <w:rPr>
          <w:rFonts w:hint="eastAsia" w:ascii="仿宋_GB2312" w:hAnsi="仿宋_GB2312" w:eastAsia="仿宋_GB2312" w:cs="仿宋_GB2312"/>
          <w:b w:val="0"/>
          <w:bCs w:val="0"/>
          <w:w w:val="100"/>
          <w:sz w:val="32"/>
          <w:szCs w:val="32"/>
          <w:highlight w:val="none"/>
          <w:u w:val="none"/>
          <w:lang w:val="zh-CN" w:eastAsia="zh-CN"/>
        </w:rPr>
      </w:pPr>
      <w:r>
        <w:rPr>
          <w:rFonts w:hint="eastAsia" w:ascii="仿宋_GB2312" w:hAnsi="仿宋_GB2312" w:eastAsia="仿宋_GB2312" w:cs="仿宋_GB2312"/>
          <w:b w:val="0"/>
          <w:bCs w:val="0"/>
          <w:w w:val="100"/>
          <w:sz w:val="32"/>
          <w:szCs w:val="32"/>
          <w:highlight w:val="none"/>
          <w:u w:val="none"/>
          <w:lang w:val="en-US" w:eastAsia="zh-CN"/>
        </w:rPr>
        <w:t>1、</w:t>
      </w:r>
      <w:r>
        <w:rPr>
          <w:rFonts w:hint="eastAsia" w:ascii="仿宋_GB2312" w:hAnsi="仿宋_GB2312" w:eastAsia="仿宋_GB2312" w:cs="仿宋_GB2312"/>
          <w:b w:val="0"/>
          <w:bCs w:val="0"/>
          <w:w w:val="100"/>
          <w:sz w:val="32"/>
          <w:szCs w:val="32"/>
          <w:highlight w:val="none"/>
          <w:u w:val="none"/>
          <w:lang w:val="zh-CN" w:eastAsia="zh-CN"/>
        </w:rPr>
        <w:t>我单位今后编制预算时对于公用经费不仅要参照历史水平，更要结合工作和项目计划，细化量化测算内容，进一步提高预算的准确性和计划性，降低经费预决算偏差。</w:t>
      </w:r>
    </w:p>
    <w:p>
      <w:pPr>
        <w:keepNext w:val="0"/>
        <w:keepLines w:val="0"/>
        <w:pageBreakBefore w:val="0"/>
        <w:kinsoku/>
        <w:wordWrap/>
        <w:overflowPunct/>
        <w:topLinePunct w:val="0"/>
        <w:autoSpaceDE/>
        <w:autoSpaceDN/>
        <w:bidi w:val="0"/>
        <w:adjustRightInd/>
        <w:spacing w:line="576" w:lineRule="exact"/>
        <w:ind w:left="-210" w:leftChars="-100" w:right="-210" w:rightChars="-100" w:firstLine="640" w:firstLineChars="200"/>
        <w:textAlignment w:val="auto"/>
        <w:rPr>
          <w:rFonts w:hint="eastAsia" w:ascii="仿宋_GB2312" w:hAnsi="仿宋_GB2312" w:eastAsia="仿宋_GB2312" w:cs="仿宋_GB2312"/>
          <w:b w:val="0"/>
          <w:bCs w:val="0"/>
          <w:w w:val="100"/>
          <w:sz w:val="32"/>
          <w:szCs w:val="32"/>
          <w:highlight w:val="none"/>
          <w:u w:val="none"/>
          <w:lang w:val="zh-CN" w:eastAsia="zh-CN"/>
        </w:rPr>
      </w:pPr>
      <w:r>
        <w:rPr>
          <w:rFonts w:hint="eastAsia" w:ascii="仿宋_GB2312" w:hAnsi="仿宋_GB2312" w:eastAsia="仿宋_GB2312" w:cs="仿宋_GB2312"/>
          <w:b w:val="0"/>
          <w:bCs w:val="0"/>
          <w:w w:val="100"/>
          <w:sz w:val="32"/>
          <w:szCs w:val="32"/>
          <w:highlight w:val="none"/>
          <w:u w:val="none"/>
          <w:lang w:val="en-US" w:eastAsia="zh-CN"/>
        </w:rPr>
        <w:t>2、今后建立内部机构绩效考核机制，加大内设机构绩效自评与预算挂钩力度，奖优罚劣，提高财政资金支出绩效。</w:t>
      </w:r>
    </w:p>
    <w:p>
      <w:pPr>
        <w:pStyle w:val="7"/>
        <w:rPr>
          <w:rFonts w:hint="eastAsia"/>
          <w:lang w:val="zh-CN" w:eastAsia="zh-CN"/>
        </w:rPr>
      </w:pPr>
    </w:p>
    <w:p>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_GB2312" w:eastAsia="仿宋_GB2312" w:cs="仿宋_GB2312"/>
          <w:b w:val="0"/>
          <w:bCs w:val="0"/>
          <w:color w:val="000000"/>
          <w:w w:val="1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w w:val="100"/>
          <w:kern w:val="0"/>
          <w:sz w:val="32"/>
          <w:szCs w:val="32"/>
          <w:highlight w:val="none"/>
          <w:shd w:val="clear" w:color="auto" w:fill="FFFFFF"/>
          <w:lang w:val="en-US" w:eastAsia="zh-CN"/>
        </w:rPr>
        <w:t>附表：部门整体支出绩效目标完成情况自评表</w:t>
      </w:r>
    </w:p>
    <w:p/>
    <w:p>
      <w:pPr>
        <w:pStyle w:val="7"/>
      </w:pPr>
    </w:p>
    <w:p>
      <w:pPr>
        <w:pStyle w:val="8"/>
      </w:pPr>
    </w:p>
    <w:p>
      <w:pPr>
        <w:pStyle w:val="8"/>
      </w:pPr>
    </w:p>
    <w:p>
      <w:pPr>
        <w:keepNext w:val="0"/>
        <w:keepLines w:val="0"/>
        <w:pageBreakBefore w:val="0"/>
        <w:widowControl w:val="0"/>
        <w:kinsoku/>
        <w:wordWrap/>
        <w:overflowPunct/>
        <w:topLinePunct w:val="0"/>
        <w:autoSpaceDE/>
        <w:autoSpaceDN/>
        <w:bidi w:val="0"/>
        <w:spacing w:line="570" w:lineRule="exact"/>
        <w:jc w:val="both"/>
        <w:textAlignment w:val="auto"/>
        <w:rPr>
          <w:rFonts w:hint="eastAsia" w:ascii="仿宋_GB2312" w:hAnsi="仿宋_GB2312" w:eastAsia="仿宋_GB2312" w:cs="仿宋_GB2312"/>
          <w:b w:val="0"/>
          <w:bCs w:val="0"/>
          <w:color w:val="000000"/>
          <w:w w:val="100"/>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70" w:lineRule="exact"/>
        <w:jc w:val="both"/>
        <w:textAlignment w:val="auto"/>
        <w:rPr>
          <w:rFonts w:hint="default" w:ascii="仿宋_GB2312" w:hAnsi="仿宋_GB2312" w:eastAsia="仿宋_GB2312" w:cs="仿宋_GB2312"/>
          <w:b w:val="0"/>
          <w:bCs w:val="0"/>
          <w:color w:val="000000"/>
          <w:w w:val="1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w w:val="100"/>
          <w:kern w:val="0"/>
          <w:sz w:val="32"/>
          <w:szCs w:val="32"/>
          <w:highlight w:val="none"/>
          <w:shd w:val="clear" w:color="auto" w:fill="FFFFFF"/>
          <w:lang w:val="en-US" w:eastAsia="zh-CN"/>
        </w:rPr>
        <w:t>附表：</w:t>
      </w:r>
    </w:p>
    <w:p>
      <w:pPr>
        <w:pStyle w:val="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部门整体支出绩效目标自评表</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（2024年度）</w:t>
      </w:r>
    </w:p>
    <w:p>
      <w:pPr>
        <w:pStyle w:val="38"/>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单位：万元</w:t>
      </w:r>
    </w:p>
    <w:tbl>
      <w:tblPr>
        <w:tblStyle w:val="17"/>
        <w:tblW w:w="10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8"/>
        <w:gridCol w:w="1170"/>
        <w:gridCol w:w="1155"/>
        <w:gridCol w:w="2718"/>
        <w:gridCol w:w="555"/>
        <w:gridCol w:w="765"/>
        <w:gridCol w:w="930"/>
        <w:gridCol w:w="81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34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部门名称</w:t>
            </w:r>
          </w:p>
        </w:tc>
        <w:tc>
          <w:tcPr>
            <w:tcW w:w="69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2700"/>
              </w:tabs>
              <w:kinsoku/>
              <w:wordWrap/>
              <w:overflowPunct/>
              <w:topLinePunct w:val="0"/>
              <w:autoSpaceDE/>
              <w:autoSpaceDN/>
              <w:bidi w:val="0"/>
              <w:adjustRightInd/>
              <w:snapToGrid/>
              <w:spacing w:line="250" w:lineRule="exact"/>
              <w:jc w:val="left"/>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ab/>
            </w:r>
            <w:r>
              <w:rPr>
                <w:rFonts w:hint="eastAsia" w:ascii="宋体" w:hAnsi="宋体" w:cs="宋体"/>
                <w:i w:val="0"/>
                <w:iCs w:val="0"/>
                <w:color w:val="000000"/>
                <w:sz w:val="21"/>
                <w:szCs w:val="21"/>
                <w:u w:val="none"/>
                <w:lang w:eastAsia="zh-CN"/>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年度部门整体支出预算</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资金总额</w:t>
            </w:r>
          </w:p>
        </w:tc>
        <w:tc>
          <w:tcPr>
            <w:tcW w:w="32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财政拨款</w:t>
            </w:r>
          </w:p>
        </w:tc>
        <w:tc>
          <w:tcPr>
            <w:tcW w:w="37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1040.18</w:t>
            </w:r>
          </w:p>
        </w:tc>
        <w:tc>
          <w:tcPr>
            <w:tcW w:w="32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1040.18</w:t>
            </w:r>
          </w:p>
        </w:tc>
        <w:tc>
          <w:tcPr>
            <w:tcW w:w="37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10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年度总体目标</w:t>
            </w:r>
          </w:p>
        </w:tc>
        <w:tc>
          <w:tcPr>
            <w:tcW w:w="931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915"/>
              </w:tabs>
              <w:kinsoku/>
              <w:wordWrap/>
              <w:overflowPunct/>
              <w:topLinePunct w:val="0"/>
              <w:autoSpaceDE/>
              <w:autoSpaceDN/>
              <w:bidi w:val="0"/>
              <w:adjustRightInd/>
              <w:snapToGrid/>
              <w:spacing w:line="250" w:lineRule="exact"/>
              <w:jc w:val="left"/>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ab/>
            </w:r>
            <w:r>
              <w:rPr>
                <w:rFonts w:hint="eastAsia" w:ascii="宋体" w:hAnsi="宋体" w:cs="宋体"/>
                <w:i w:val="0"/>
                <w:iCs w:val="0"/>
                <w:color w:val="000000"/>
                <w:sz w:val="21"/>
                <w:szCs w:val="21"/>
                <w:u w:val="none"/>
                <w:lang w:eastAsia="zh-CN"/>
              </w:rPr>
              <w:t>按时兑付在编人员经费，及时保障日常正常运转公用经费的拨付；保障日常工作正常运行，保障辖区乡村振兴、固定资产投资、安全生产、信访维稳、房屋征收与补偿、计划生育、民政、劳动就业、社会保障、环境卫生等工作的完成。深度谋划储备项目，全力攻坚重点项目，切实做好民生实事，扎实开展农村人居环境整治提升行动，全面加强党的建设，加强基层治理能力现代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08" w:type="dxa"/>
            <w:vMerge w:val="restart"/>
            <w:tcBorders>
              <w:top w:val="single" w:color="000000" w:sz="4" w:space="0"/>
              <w:left w:val="single" w:color="000000"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年度主要任务</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任务名称</w:t>
            </w:r>
          </w:p>
        </w:tc>
        <w:tc>
          <w:tcPr>
            <w:tcW w:w="69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人员经费</w:t>
            </w:r>
          </w:p>
        </w:tc>
        <w:tc>
          <w:tcPr>
            <w:tcW w:w="69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按时兑付在编人员工资、绩效等经费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公用经费</w:t>
            </w:r>
          </w:p>
        </w:tc>
        <w:tc>
          <w:tcPr>
            <w:tcW w:w="69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sz w:val="18"/>
                <w:szCs w:val="18"/>
              </w:rPr>
              <w:t>及时保障日常正常运转公用经费的拨付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村社运行经费</w:t>
            </w:r>
          </w:p>
        </w:tc>
        <w:tc>
          <w:tcPr>
            <w:tcW w:w="69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及时支付村社区运转经费，保障村社日常运转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村社干部报酬、保险、绩效</w:t>
            </w:r>
          </w:p>
        </w:tc>
        <w:tc>
          <w:tcPr>
            <w:tcW w:w="69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sz w:val="18"/>
                <w:szCs w:val="18"/>
              </w:rPr>
              <w:t>支付村社区工作人员报酬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龙腾、龙翔公司困难职工补助</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sz w:val="18"/>
                <w:szCs w:val="18"/>
              </w:rPr>
              <w:t>妥善处置龙腾、龙翔公司欠付职工工资、社保一事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袁家坝铝产业园指挥部经费项目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维护袁家坝铝产业园日常运行，完成目标任务，促进园区发展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袁家坝党建经费项目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开展党建宣传2次、办理案件3件、订阅报刊、促进党建、纪检工作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tabs>
                <w:tab w:val="left" w:pos="555"/>
              </w:tabs>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袁家坝创文工作项目经费</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开展全国文明城市创建宣传4次，设施维护10次以上，完成文明城市创建市区安排的工作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袁家坝应急用车经费项目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保障办事处公务应急用车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袁家坝办事处伙食团经费项目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tabs>
                <w:tab w:val="left" w:pos="1845"/>
              </w:tabs>
              <w:kinsoku/>
              <w:wordWrap/>
              <w:overflowPunct/>
              <w:topLinePunct w:val="0"/>
              <w:autoSpaceDE/>
              <w:autoSpaceDN/>
              <w:bidi w:val="0"/>
              <w:adjustRightInd/>
              <w:snapToGrid/>
              <w:spacing w:line="25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保障35名职工用餐，为办事处工作顺利开展提供后勤保障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袁家坝交警队伙食经费项目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保障交警队职工用餐，为其提供后勤保障服务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袁家坝综治维稳工作经费项目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办事处信访、维稳、防邪、禁毒、扫黑除恶等日常工作正常运行，宣传次数3次，保障辖区社会稳定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袁家坝武装经费项目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保障办事处武装工作正常开展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袁家坝环境整治经费项目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开展环境整治4次，集中检查4次，辖区内环境质量逐步改善，民众满意度上升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袁家坝防汛经费项目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完成河长制公示牌更新，开展汛前安全专项检查及汛期安全动态查看，加强汛期值班值守，确保安全度汛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袁家坝应急管理经费项目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购买应急物资，开展宣传4次，促进辖区安全、无森林火灾事故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中国有色金属工业协会咨询服务项目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促进园区铝产业发展，为园区提供铝基新材料产业发展提供技术咨询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袁家坝纪检工作经费</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确保办事处纪检工作正常开展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袁家坝参加第十九届中国铝业峰会资金</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推进建设中国绿色铝都园区建设及招商引资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restart"/>
            <w:tcBorders>
              <w:top w:val="single" w:color="000000" w:sz="4" w:space="0"/>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年度主要任务</w:t>
            </w: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袁家坝办事处2023年优秀人员奖金</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袁家坝办事处2023年优秀人员奖金完成优秀人员奖金发放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袁家坝指挥部环境卫生整治经费</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确保二季度“拉链评比”现场会暨二季度重大项目现场推进活动等圆满完成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防返贫监测帮扶村级网格员补助</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做好防返贫监测帮扶工作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袁家坝“拼经济比发展”财政激励约束政策项目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完成好“拼经济、比发展”指标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袁家坝2023年土地进出平衡整治项目补助</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完成好辖区土地进出口平衡工作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实美公司电力改迁项目补助资金项目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完成10KV石盘社区一、二线电力线路改迁工程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袁家坝上石村饮水净化项目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完成上石村饮水净化项目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袁家坝迎调研环境卫生整治费用</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圆满完成领导调研铝基新材料企业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袁家坝指挥部摩托产业园项目</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促进园区发展，完成招商任务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袁家坝2023年未休公休补助</w:t>
            </w:r>
          </w:p>
        </w:tc>
        <w:tc>
          <w:tcPr>
            <w:tcW w:w="699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拨付2023年职工未休公休补助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1108" w:type="dxa"/>
            <w:tcBorders>
              <w:top w:val="nil"/>
              <w:left w:val="single" w:color="000000" w:sz="4" w:space="0"/>
              <w:bottom w:val="nil"/>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年度绩效指标</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绩效指标性质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绩效指</w:t>
            </w:r>
          </w:p>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标值</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绩效度量单位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08" w:type="dxa"/>
            <w:vMerge w:val="restart"/>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cs="宋体"/>
                <w:i w:val="0"/>
                <w:iCs w:val="0"/>
                <w:color w:val="000000"/>
                <w:kern w:val="0"/>
                <w:sz w:val="21"/>
                <w:szCs w:val="21"/>
                <w:u w:val="none"/>
                <w:lang w:val="en-US" w:eastAsia="zh-CN" w:bidi="ar"/>
              </w:rPr>
            </w:pPr>
          </w:p>
        </w:tc>
        <w:tc>
          <w:tcPr>
            <w:tcW w:w="1170" w:type="dxa"/>
            <w:vMerge w:val="restart"/>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产出指标</w:t>
            </w:r>
          </w:p>
        </w:tc>
        <w:tc>
          <w:tcPr>
            <w:tcW w:w="1155" w:type="dxa"/>
            <w:vMerge w:val="restart"/>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保障日常办公正常运行的机构数量</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城乡环境、河道整治</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农村道路、房屋等安全排查</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维稳、信访、防火、防汛、安全等政策检查宣传</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08" w:type="dxa"/>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引进企业数量</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应急用车</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车辆安全重大事故发生率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城乡环境空气优良率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完成投产90%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完成时间</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公用经费</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358.58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人员经费</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专项经费</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624.68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624.68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1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规模以上工业总产值</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亿元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经济发展</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较好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安全观念、群众安全知识知晓率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安全知识宣传覆盖率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党的工作覆盖率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农村人居环境、生活条件</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整治效果</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信访化解率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生态效益指标</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水环境保护</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污染治理</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08"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r>
    </w:tbl>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pStyle w:val="8"/>
        <w:rPr>
          <w:rFonts w:hint="eastAsia" w:ascii="宋体" w:hAnsi="宋体" w:eastAsia="宋体" w:cs="宋体"/>
          <w:color w:val="auto"/>
          <w:kern w:val="0"/>
          <w:sz w:val="32"/>
          <w:szCs w:val="32"/>
          <w:highlight w:val="none"/>
          <w:lang w:val="en-US" w:eastAsia="zh-CN" w:bidi="ar-SA"/>
        </w:rPr>
      </w:pPr>
    </w:p>
    <w:p>
      <w:pPr>
        <w:spacing w:line="600" w:lineRule="exact"/>
        <w:jc w:val="both"/>
        <w:outlineLvl w:val="0"/>
        <w:rPr>
          <w:rFonts w:hint="eastAsia" w:ascii="宋体" w:hAnsi="宋体" w:cs="宋体"/>
          <w:color w:val="auto"/>
          <w:kern w:val="0"/>
          <w:sz w:val="32"/>
          <w:szCs w:val="32"/>
          <w:highlight w:val="none"/>
          <w:lang w:val="en-US" w:eastAsia="zh-CN" w:bidi="ar-SA"/>
        </w:rPr>
      </w:pPr>
    </w:p>
    <w:p>
      <w:pPr>
        <w:spacing w:line="600" w:lineRule="exact"/>
        <w:jc w:val="both"/>
        <w:outlineLvl w:val="0"/>
        <w:rPr>
          <w:rFonts w:hint="eastAsia" w:ascii="宋体" w:hAnsi="宋体" w:cs="宋体"/>
          <w:color w:val="auto"/>
          <w:kern w:val="0"/>
          <w:sz w:val="32"/>
          <w:szCs w:val="32"/>
          <w:highlight w:val="none"/>
          <w:lang w:val="en-US" w:eastAsia="zh-CN" w:bidi="ar-SA"/>
        </w:rPr>
      </w:pPr>
      <w:r>
        <w:rPr>
          <w:rFonts w:hint="eastAsia" w:ascii="宋体" w:hAnsi="宋体" w:cs="宋体"/>
          <w:color w:val="auto"/>
          <w:kern w:val="0"/>
          <w:sz w:val="32"/>
          <w:szCs w:val="32"/>
          <w:highlight w:val="none"/>
          <w:lang w:val="en-US" w:eastAsia="zh-CN" w:bidi="ar-SA"/>
        </w:rPr>
        <w:t>附件2：</w:t>
      </w: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年袁家坝龙腾、龙翔公司困难职工补助</w:t>
      </w: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现将我办龙腾、龙翔公司困难职工补助项目支出绩效自评报告如下。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楷体_GB2312" w:hAnsi="楷体_GB2312" w:eastAsia="楷体_GB2312" w:cs="楷体_GB2312"/>
          <w:b w:val="0"/>
          <w:bCs w:val="0"/>
          <w:sz w:val="32"/>
          <w:szCs w:val="32"/>
          <w:lang w:val="en-US" w:eastAsia="zh-CN"/>
        </w:rPr>
        <w:t>辖区企业龙腾、龙翔公司破产职工工资补助</w:t>
      </w:r>
      <w:r>
        <w:rPr>
          <w:rFonts w:hint="eastAsia" w:ascii="仿宋_GB2312" w:hAnsi="仿宋_GB2312" w:eastAsia="仿宋_GB2312" w:cs="仿宋_GB2312"/>
          <w:b w:val="0"/>
          <w:bCs w:val="0"/>
          <w:sz w:val="32"/>
          <w:szCs w:val="32"/>
          <w:lang w:val="en-US" w:eastAsia="zh-CN"/>
        </w:rPr>
        <w:t>。广开财预下〔2024〕1-5号批复预算25.67万元。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确保龙腾龙翔职工补助发放到位、保障辖区稳定</w:t>
      </w:r>
      <w:r>
        <w:rPr>
          <w:rFonts w:hint="eastAsia" w:ascii="仿宋_GB2312" w:hAnsi="仿宋_GB2312" w:eastAsia="仿宋_GB2312" w:cs="仿宋_GB2312"/>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2024年袁家坝办事处申报项目经费25.67万元。财政审核后批复预算25.67万元。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广开财预下广开财预下〔2024〕1-5号批复预算25.67万元。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用于支付龙腾、龙翔公司职工补助、及缴纳职工社保费用。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由袁家坝办事处具体负责实施，组织会议召开。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截止2024年12月底支付龙腾、龙翔职工补助25.67万元。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default" w:ascii="仿宋_GB2312" w:hAnsi="仿宋_GB2312" w:eastAsia="仿宋_GB2312" w:cs="仿宋_GB2312"/>
          <w:sz w:val="32"/>
          <w:szCs w:val="36"/>
          <w:lang w:val="en-US" w:eastAsia="zh-CN"/>
        </w:rPr>
      </w:pPr>
      <w:r>
        <w:rPr>
          <w:rFonts w:hint="eastAsia" w:ascii="仿宋_GB2312" w:eastAsia="仿宋_GB2312" w:cs="仿宋_GB2312"/>
          <w:sz w:val="32"/>
          <w:szCs w:val="32"/>
          <w:lang w:val="en-US" w:eastAsia="zh-CN"/>
        </w:rPr>
        <w:t>确保了辖区稳定。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pPr>
        <w:pStyle w:val="7"/>
        <w:rPr>
          <w:rFonts w:hint="eastAsia" w:ascii="宋体" w:hAnsi="宋体" w:cs="宋体"/>
          <w:color w:val="auto"/>
          <w:kern w:val="0"/>
          <w:sz w:val="32"/>
          <w:szCs w:val="32"/>
          <w:highlight w:val="none"/>
          <w:lang w:val="en-US" w:eastAsia="zh-CN" w:bidi="ar-SA"/>
        </w:rPr>
      </w:pP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袁家坝铝产业园</w:t>
      </w:r>
      <w:r>
        <w:rPr>
          <w:rFonts w:hint="eastAsia" w:ascii="方正小标宋简体" w:hAnsi="宋体" w:eastAsia="方正小标宋简体"/>
          <w:sz w:val="44"/>
          <w:szCs w:val="44"/>
          <w:lang w:val="en-US"/>
        </w:rPr>
        <w:t>指挥部工作经费</w:t>
      </w:r>
      <w:r>
        <w:rPr>
          <w:rFonts w:hint="eastAsia" w:ascii="方正小标宋简体" w:hAnsi="宋体" w:eastAsia="方正小标宋简体"/>
          <w:sz w:val="44"/>
          <w:szCs w:val="44"/>
        </w:rPr>
        <w:t>项目支出绩效自评报告</w:t>
      </w: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袁家坝铝产业园指挥部工作经费项目支出绩效自评报告如下。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袁家坝铝产业园指挥部2021年在区党工委的安排下成立。主要任务聚力项目和产业攻坚，巩固和增强经济回升。根据上年经费支出情况，2024年袁家坝铝产业园指挥部工作经费申报预算共计70万元</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〔2024〕1-5号批复</w:t>
      </w:r>
      <w:r>
        <w:rPr>
          <w:rFonts w:hint="eastAsia" w:ascii="仿宋_GB2312" w:hAnsi="仿宋_GB2312" w:eastAsia="仿宋_GB2312" w:cs="仿宋_GB2312"/>
          <w:b w:val="0"/>
          <w:bCs w:val="0"/>
          <w:sz w:val="32"/>
          <w:szCs w:val="32"/>
          <w:lang w:val="en-US" w:eastAsia="zh-CN"/>
        </w:rPr>
        <w:t>70万元。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1.招商引资项目15个</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val="en-US" w:eastAsia="zh-CN"/>
        </w:rPr>
        <w:t>聚力企业培育增质效。紧盯年度进规入统目标，抓好在园企业运营和培育工作，协助企业拓市场、创品牌、增销量。努力推动园区部分企业和字节调动公司合作，利用平台优势占领市场。力争实现两家企业进规入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聚力项目建设提速度。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2024年我办申报项目经费共计70万元。经财政审核后上报预算。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广开财预〔2024〕1-5号</w:t>
      </w:r>
      <w:r>
        <w:rPr>
          <w:rFonts w:hint="eastAsia" w:ascii="仿宋_GB2312" w:hAnsi="仿宋_GB2312" w:eastAsia="仿宋_GB2312" w:cs="仿宋_GB2312"/>
          <w:color w:val="000000"/>
          <w:sz w:val="32"/>
          <w:szCs w:val="32"/>
          <w:highlight w:val="none"/>
          <w:lang w:val="en-US" w:eastAsia="zh-CN"/>
        </w:rPr>
        <w:t>批复</w:t>
      </w:r>
      <w:r>
        <w:rPr>
          <w:rFonts w:hint="eastAsia" w:ascii="仿宋_GB2312" w:hAnsi="仿宋_GB2312" w:eastAsia="仿宋_GB2312" w:cs="仿宋_GB2312"/>
          <w:b w:val="0"/>
          <w:bCs w:val="0"/>
          <w:sz w:val="32"/>
          <w:szCs w:val="32"/>
          <w:lang w:val="en-US" w:eastAsia="zh-CN"/>
        </w:rPr>
        <w:t>70万元。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我办按年初目标主要支付宣传费、招商引资差旅费、园区指挥部日常运行办公费等。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cs="仿宋_GB2312"/>
          <w:b w:val="0"/>
          <w:bCs w:val="0"/>
          <w:spacing w:val="0"/>
          <w:sz w:val="32"/>
          <w:lang w:val="en-US" w:eastAsia="zh-CN"/>
        </w:rPr>
      </w:pPr>
      <w:r>
        <w:rPr>
          <w:rFonts w:hint="eastAsia" w:ascii="仿宋_GB2312" w:hAnsi="仿宋_GB2312" w:eastAsia="仿宋_GB2312" w:cs="仿宋_GB2312"/>
          <w:color w:val="000000"/>
          <w:sz w:val="32"/>
          <w:szCs w:val="32"/>
          <w:highlight w:val="none"/>
          <w:lang w:val="en-US" w:eastAsia="zh-CN"/>
        </w:rPr>
        <w:t>先后在铝产业企业产业链对接大会、第七届中国高精铝材深加工商务对接会、广元电线电缆制造产业园作宣传推介。坚持领导带头招商、专业招商，充分发挥以商招商效能，赴广东、浙江、安徽、江苏、上海、重庆、新疆、贵州、成都、德阳等省、市开展外出招商活动30余次，新增对接洽谈项目70余个。</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袁家坝工业园实现规上工业总产值258.23亿元，其中铝产业实现规模以上工业总产值244.44亿元；园区签约引进项目19个，新开工项目12个，在建项目12个，竣工项目11个；入库项目15个，入库投资21亿元，完成全社会固定资产总投资27.19亿元，进规入统企业10家，其中工业企业7家（目标5家）、批发零售企业2家（目标1家）、服务业企业1家。</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项目效益情况</w:t>
      </w:r>
    </w:p>
    <w:p>
      <w:pPr>
        <w:pStyle w:val="7"/>
        <w:numPr>
          <w:ilvl w:val="0"/>
          <w:numId w:val="0"/>
        </w:numPr>
        <w:rPr>
          <w:rFonts w:hint="default" w:ascii="仿宋_GB2312" w:hAnsi="仿宋_GB2312" w:eastAsia="仿宋_GB2312" w:cs="仿宋_GB2312"/>
          <w:kern w:val="2"/>
          <w:sz w:val="32"/>
          <w:szCs w:val="36"/>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6"/>
          <w:lang w:val="en-US" w:eastAsia="zh-CN" w:bidi="ar-SA"/>
        </w:rPr>
        <w:t xml:space="preserve">  </w:t>
      </w:r>
      <w:r>
        <w:rPr>
          <w:rFonts w:hint="eastAsia" w:ascii="仿宋_GB2312" w:hAnsi="仿宋_GB2312" w:eastAsia="仿宋_GB2312" w:cs="仿宋_GB2312"/>
          <w:color w:val="000000"/>
          <w:sz w:val="32"/>
          <w:szCs w:val="32"/>
          <w:highlight w:val="none"/>
          <w:lang w:val="en-US" w:eastAsia="zh-CN"/>
        </w:rPr>
        <w:t>袁家坝工业园实现规上工业总产值258.23亿元，其中铝产业实现规模以上工业总产值244.44亿元。完成全社会固定资产总投资27.19亿元。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pPr>
        <w:pStyle w:val="8"/>
        <w:ind w:firstLine="640" w:firstLineChars="200"/>
        <w:rPr>
          <w:rFonts w:hint="eastAsia"/>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s="Times New Roman"/>
          <w:sz w:val="44"/>
          <w:szCs w:val="44"/>
        </w:rPr>
      </w:pP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s="Times New Roman"/>
          <w:sz w:val="44"/>
          <w:szCs w:val="44"/>
        </w:rPr>
      </w:pPr>
    </w:p>
    <w:p>
      <w:pPr>
        <w:pStyle w:val="37"/>
        <w:keepNext w:val="0"/>
        <w:keepLines w:val="0"/>
        <w:pageBreakBefore w:val="0"/>
        <w:widowControl w:val="0"/>
        <w:kinsoku/>
        <w:wordWrap/>
        <w:overflowPunct/>
        <w:topLinePunct w:val="0"/>
        <w:autoSpaceDE/>
        <w:autoSpaceDN/>
        <w:bidi w:val="0"/>
        <w:adjustRightInd/>
        <w:snapToGrid/>
        <w:spacing w:line="570" w:lineRule="exact"/>
        <w:ind w:firstLine="880" w:firstLineChars="200"/>
        <w:jc w:val="both"/>
        <w:textAlignment w:val="auto"/>
        <w:rPr>
          <w:rFonts w:hint="eastAsia" w:ascii="方正小标宋简体" w:hAnsi="宋体" w:eastAsia="方正小标宋简体"/>
          <w:sz w:val="44"/>
          <w:szCs w:val="44"/>
        </w:rPr>
      </w:pPr>
      <w:r>
        <w:rPr>
          <w:rFonts w:hint="eastAsia" w:ascii="方正小标宋简体" w:hAnsi="宋体" w:eastAsia="方正小标宋简体" w:cs="Times New Roman"/>
          <w:sz w:val="44"/>
          <w:szCs w:val="44"/>
        </w:rPr>
        <w:t>袁家坝上石村饮水净化项目</w:t>
      </w:r>
      <w:r>
        <w:rPr>
          <w:rFonts w:hint="eastAsia" w:ascii="方正小标宋简体" w:hAnsi="宋体" w:eastAsia="方正小标宋简体"/>
          <w:sz w:val="44"/>
          <w:szCs w:val="44"/>
        </w:rPr>
        <w:t>支出绩效</w:t>
      </w: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b w:val="0"/>
          <w:bCs/>
          <w:color w:val="auto"/>
          <w:kern w:val="2"/>
          <w:sz w:val="32"/>
          <w:szCs w:val="32"/>
        </w:rPr>
      </w:pPr>
      <w:r>
        <w:rPr>
          <w:rFonts w:hint="eastAsia" w:ascii="方正小标宋简体" w:hAnsi="宋体" w:eastAsia="方正小标宋简体"/>
          <w:sz w:val="44"/>
          <w:szCs w:val="44"/>
        </w:rPr>
        <w:t>自评报告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w:t>
      </w:r>
      <w:r>
        <w:rPr>
          <w:rFonts w:hint="eastAsia" w:ascii="仿宋_GB2312" w:hAnsi="仿宋_GB2312" w:eastAsia="仿宋_GB2312" w:cs="仿宋_GB2312"/>
          <w:color w:val="000000"/>
          <w:sz w:val="32"/>
          <w:szCs w:val="32"/>
          <w:highlight w:val="none"/>
          <w:lang w:eastAsia="zh-CN"/>
        </w:rPr>
        <w:t>上石村饮水净化项目</w:t>
      </w:r>
      <w:r>
        <w:rPr>
          <w:rFonts w:hint="eastAsia" w:ascii="仿宋_GB2312" w:hAnsi="仿宋_GB2312" w:eastAsia="仿宋_GB2312" w:cs="仿宋_GB2312"/>
          <w:color w:val="000000"/>
          <w:sz w:val="32"/>
          <w:szCs w:val="32"/>
          <w:highlight w:val="none"/>
          <w:lang w:val="en-US" w:eastAsia="zh-CN"/>
        </w:rPr>
        <w:t>资金支出绩效自评报告如下。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zh-CN"/>
        </w:rPr>
        <w:t>（一）</w:t>
      </w:r>
      <w:r>
        <w:rPr>
          <w:rFonts w:hint="eastAsia" w:ascii="楷体_GB2312" w:hAnsi="楷体_GB2312" w:eastAsia="楷体_GB2312" w:cs="楷体_GB2312"/>
          <w:b w:val="0"/>
          <w:bCs w:val="0"/>
          <w:kern w:val="2"/>
          <w:sz w:val="32"/>
          <w:szCs w:val="32"/>
          <w:lang w:val="zh-CN"/>
        </w:rPr>
        <w:t>设立背景及基本情况。</w:t>
      </w:r>
      <w:r>
        <w:rPr>
          <w:rFonts w:hint="eastAsia" w:ascii="仿宋_GB2312" w:hAnsi="Times New Roman" w:eastAsia="仿宋_GB2312" w:cs="仿宋_GB2312"/>
          <w:sz w:val="32"/>
          <w:szCs w:val="32"/>
          <w:lang w:val="en-US" w:eastAsia="zh-CN"/>
        </w:rPr>
        <w:t>巩固</w:t>
      </w:r>
      <w:r>
        <w:rPr>
          <w:rFonts w:hint="eastAsia" w:ascii="仿宋_GB2312" w:eastAsia="仿宋_GB2312" w:cs="仿宋_GB2312"/>
          <w:sz w:val="32"/>
          <w:szCs w:val="32"/>
          <w:lang w:val="en-US" w:eastAsia="zh-CN"/>
        </w:rPr>
        <w:t>拓展</w:t>
      </w:r>
      <w:r>
        <w:rPr>
          <w:rFonts w:hint="eastAsia" w:ascii="仿宋_GB2312" w:hAnsi="Times New Roman" w:eastAsia="仿宋_GB2312" w:cs="仿宋_GB2312"/>
          <w:sz w:val="32"/>
          <w:szCs w:val="32"/>
          <w:lang w:val="en-US" w:eastAsia="zh-CN"/>
        </w:rPr>
        <w:t>脱贫攻坚成果同乡村振兴有效衔接。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（二）</w:t>
      </w:r>
      <w:r>
        <w:rPr>
          <w:rFonts w:hint="eastAsia" w:ascii="楷体_GB2312" w:hAnsi="楷体_GB2312" w:eastAsia="楷体_GB2312" w:cs="楷体_GB2312"/>
          <w:b w:val="0"/>
          <w:bCs w:val="0"/>
          <w:kern w:val="2"/>
          <w:sz w:val="32"/>
          <w:szCs w:val="32"/>
          <w:lang w:val="zh-CN" w:eastAsia="zh-CN" w:bidi="ar-SA"/>
        </w:rPr>
        <w:t>实施目的及支持方向。</w:t>
      </w:r>
      <w:r>
        <w:rPr>
          <w:rFonts w:hint="eastAsia" w:ascii="仿宋_GB2312" w:hAnsi="Times New Roman" w:eastAsia="仿宋_GB2312" w:cs="仿宋_GB2312"/>
          <w:sz w:val="32"/>
          <w:szCs w:val="32"/>
          <w:lang w:val="en-US" w:eastAsia="zh-CN"/>
        </w:rPr>
        <w:t>按照上级要求，建立项目巩固脱贫攻坚成果同乡村振兴有效衔接。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zh-CN"/>
        </w:rPr>
        <w:t>（三）预算安排及分配管理。</w:t>
      </w:r>
      <w:r>
        <w:rPr>
          <w:rFonts w:hint="eastAsia" w:ascii="仿宋_GB2312" w:hAnsi="仿宋_GB2312" w:eastAsia="仿宋_GB2312" w:cs="仿宋_GB2312"/>
          <w:color w:val="000000"/>
          <w:sz w:val="32"/>
          <w:szCs w:val="32"/>
          <w:highlight w:val="none"/>
          <w:lang w:eastAsia="zh-CN"/>
        </w:rPr>
        <w:t>上石村饮水净化项目</w:t>
      </w:r>
      <w:r>
        <w:rPr>
          <w:rFonts w:hint="eastAsia" w:ascii="仿宋_GB2312" w:hAnsi="仿宋_GB2312" w:eastAsia="仿宋_GB2312" w:cs="仿宋_GB2312"/>
          <w:color w:val="000000"/>
          <w:sz w:val="32"/>
          <w:szCs w:val="32"/>
          <w:highlight w:val="none"/>
          <w:lang w:val="en-US" w:eastAsia="zh-CN"/>
        </w:rPr>
        <w:t>资金9.17万元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项目资金申报相符性。</w:t>
      </w:r>
      <w:r>
        <w:rPr>
          <w:rFonts w:hint="eastAsia" w:ascii="仿宋_GB2312" w:hAnsi="仿宋_GB2312" w:eastAsia="仿宋_GB2312" w:cs="仿宋_GB2312"/>
          <w:b w:val="0"/>
          <w:bCs w:val="0"/>
          <w:sz w:val="32"/>
          <w:szCs w:val="32"/>
          <w:lang w:val="en-US" w:eastAsia="zh-CN"/>
        </w:rPr>
        <w:t>经区党工委会议同意批准9.17万元资金，财政审核后批复预算9.17万元。</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楷体_GB2312" w:hAnsi="楷体_GB2312" w:eastAsia="楷体_GB2312" w:cs="楷体_GB2312"/>
          <w:b w:val="0"/>
          <w:bCs w:val="0"/>
          <w:kern w:val="2"/>
          <w:sz w:val="32"/>
          <w:szCs w:val="32"/>
          <w:lang w:val="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四</w:t>
      </w:r>
      <w:r>
        <w:rPr>
          <w:rFonts w:hint="eastAsia" w:ascii="楷体_GB2312" w:hAnsi="楷体_GB2312" w:eastAsia="楷体_GB2312" w:cs="楷体_GB2312"/>
          <w:b w:val="0"/>
          <w:bCs w:val="0"/>
          <w:kern w:val="2"/>
          <w:sz w:val="32"/>
          <w:szCs w:val="32"/>
          <w:lang w:val="zh-CN"/>
        </w:rPr>
        <w:t>）项目绩效目标设置。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1.新建砌砖自来水净化工作间、安装机械隔膜计量泵</w:t>
      </w:r>
      <w:r>
        <w:rPr>
          <w:rFonts w:hint="eastAsia" w:ascii="仿宋_GB2312" w:hAnsi="仿宋_GB2312" w:eastAsia="仿宋_GB2312" w:cs="仿宋_GB2312"/>
          <w:sz w:val="32"/>
          <w:szCs w:val="3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ascii="黑体" w:hAnsi="黑体" w:eastAsia="黑体" w:cs="黑体"/>
          <w:b w:val="0"/>
          <w:bCs w:val="0"/>
          <w:sz w:val="32"/>
          <w:szCs w:val="32"/>
          <w:lang w:val="en-US" w:eastAsia="zh-CN"/>
        </w:rPr>
      </w:pPr>
      <w:r>
        <w:rPr>
          <w:rFonts w:hint="eastAsia"/>
          <w:lang w:val="en-US" w:eastAsia="zh-CN"/>
        </w:rPr>
        <w:t xml:space="preserve"> </w:t>
      </w:r>
      <w:r>
        <w:rPr>
          <w:rFonts w:hint="eastAsia" w:ascii="黑体" w:hAnsi="黑体" w:eastAsia="黑体" w:cs="黑体"/>
          <w:b w:val="0"/>
          <w:bCs w:val="0"/>
          <w:sz w:val="32"/>
          <w:szCs w:val="32"/>
          <w:lang w:val="en-US" w:eastAsia="zh-CN"/>
        </w:rPr>
        <w:t>二、项目评价实施及管理情况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1．资金计划及到位。广财农（2024）020号</w:t>
      </w: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zh-CN"/>
        </w:rPr>
        <w:t>广开财预下（2024）219号</w:t>
      </w:r>
      <w:r>
        <w:rPr>
          <w:rFonts w:hint="eastAsia" w:ascii="仿宋_GB2312" w:hAnsi="仿宋_GB2312" w:eastAsia="仿宋_GB2312" w:cs="仿宋_GB2312"/>
          <w:b w:val="0"/>
          <w:bCs w:val="0"/>
          <w:sz w:val="32"/>
          <w:szCs w:val="32"/>
          <w:lang w:val="en-US" w:eastAsia="zh-CN"/>
        </w:rPr>
        <w:t>。审核后批复预算9.17万元。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由袁家坝上石村具体负责实施，组织配合实施监督、验收。</w:t>
      </w:r>
    </w:p>
    <w:p>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三、绩效</w:t>
      </w:r>
      <w:r>
        <w:rPr>
          <w:rFonts w:hint="eastAsia" w:ascii="黑体" w:hAnsi="黑体" w:eastAsia="黑体" w:cs="黑体"/>
          <w:b w:val="0"/>
          <w:bCs w:val="0"/>
          <w:color w:val="000000"/>
          <w:sz w:val="32"/>
          <w:szCs w:val="32"/>
          <w:lang w:eastAsia="zh-CN"/>
        </w:rPr>
        <w:t>分析</w:t>
      </w:r>
    </w:p>
    <w:p>
      <w:pPr>
        <w:keepNext w:val="0"/>
        <w:keepLines w:val="0"/>
        <w:pageBreakBefore w:val="0"/>
        <w:widowControl w:val="0"/>
        <w:kinsoku/>
        <w:wordWrap/>
        <w:overflowPunct/>
        <w:topLinePunct w:val="0"/>
        <w:autoSpaceDE/>
        <w:autoSpaceDN/>
        <w:bidi w:val="0"/>
        <w:adjustRightInd/>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zh-CN"/>
        </w:rPr>
      </w:pPr>
      <w:r>
        <w:rPr>
          <w:rFonts w:hint="eastAsia" w:ascii="仿宋_GB2312" w:hAnsi="仿宋_GB2312" w:eastAsia="仿宋_GB2312" w:cs="仿宋_GB2312"/>
          <w:b w:val="0"/>
          <w:bCs w:val="0"/>
          <w:kern w:val="2"/>
          <w:sz w:val="32"/>
          <w:szCs w:val="32"/>
          <w:highlight w:val="none"/>
          <w:lang w:val="zh-CN"/>
        </w:rPr>
        <w:t>根据专项预算绩效评价指标体系“通用指标”“专用指标”“</w:t>
      </w:r>
      <w:r>
        <w:rPr>
          <w:rFonts w:hint="eastAsia" w:ascii="仿宋_GB2312" w:hAnsi="仿宋_GB2312" w:eastAsia="仿宋_GB2312" w:cs="仿宋_GB2312"/>
          <w:b w:val="0"/>
          <w:bCs w:val="0"/>
          <w:kern w:val="2"/>
          <w:sz w:val="32"/>
          <w:szCs w:val="32"/>
          <w:highlight w:val="none"/>
          <w:lang w:val="zh-CN" w:eastAsia="zh-CN"/>
        </w:rPr>
        <w:t>特</w:t>
      </w:r>
      <w:r>
        <w:rPr>
          <w:rFonts w:hint="eastAsia" w:ascii="仿宋_GB2312" w:hAnsi="仿宋_GB2312" w:eastAsia="仿宋_GB2312" w:cs="仿宋_GB2312"/>
          <w:b w:val="0"/>
          <w:bCs w:val="0"/>
          <w:kern w:val="2"/>
          <w:sz w:val="32"/>
          <w:szCs w:val="32"/>
          <w:highlight w:val="none"/>
          <w:lang w:val="zh-CN"/>
        </w:rPr>
        <w:t>性指标”涉及的二、三级指标进行逐项绩效分析并评分</w:t>
      </w:r>
      <w:r>
        <w:rPr>
          <w:rFonts w:hint="eastAsia" w:ascii="仿宋_GB2312" w:hAnsi="仿宋_GB2312" w:eastAsia="仿宋_GB2312" w:cs="仿宋_GB2312"/>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val="0"/>
          <w:bCs w:val="0"/>
          <w:kern w:val="2"/>
          <w:sz w:val="32"/>
          <w:szCs w:val="32"/>
          <w:lang w:val="zh-CN"/>
        </w:rPr>
        <w:t>（一）</w:t>
      </w:r>
      <w:r>
        <w:rPr>
          <w:rFonts w:hint="eastAsia" w:ascii="楷体_GB2312" w:hAnsi="楷体_GB2312" w:eastAsia="楷体_GB2312" w:cs="楷体_GB2312"/>
          <w:b w:val="0"/>
          <w:bCs w:val="0"/>
          <w:kern w:val="2"/>
          <w:sz w:val="32"/>
          <w:szCs w:val="32"/>
          <w:lang w:val="zh-CN" w:eastAsia="zh-CN"/>
        </w:rPr>
        <w:t>通用绩效指标分析。</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eastAsia="zh-CN"/>
        </w:rPr>
        <w:t>项目决策。</w:t>
      </w:r>
      <w:r>
        <w:rPr>
          <w:rFonts w:hint="eastAsia" w:ascii="仿宋_GB2312" w:hAnsi="仿宋_GB2312" w:eastAsia="仿宋_GB2312" w:cs="仿宋_GB2312"/>
          <w:b w:val="0"/>
          <w:bCs w:val="0"/>
          <w:kern w:val="2"/>
          <w:sz w:val="32"/>
          <w:szCs w:val="32"/>
          <w:highlight w:val="none"/>
          <w:lang w:val="en-US" w:eastAsia="zh-CN"/>
        </w:rPr>
        <w:t>项目按照上石村发展及民生需要，经相关部门核实、报区民生产业专班审定，按程序申请。</w:t>
      </w:r>
      <w:r>
        <w:rPr>
          <w:rFonts w:hint="eastAsia" w:ascii="仿宋_GB2312" w:hAnsi="仿宋_GB2312" w:eastAsia="仿宋_GB2312" w:cs="仿宋_GB2312"/>
          <w:b w:val="0"/>
          <w:bCs w:val="0"/>
          <w:color w:val="000000"/>
          <w:sz w:val="32"/>
          <w:szCs w:val="32"/>
          <w:highlight w:val="none"/>
          <w:lang w:val="en-US" w:eastAsia="zh-CN"/>
        </w:rPr>
        <w:t>2.项目实施。</w:t>
      </w:r>
      <w:r>
        <w:rPr>
          <w:rFonts w:hint="eastAsia" w:ascii="仿宋_GB2312" w:hAnsi="仿宋_GB2312" w:eastAsia="仿宋_GB2312" w:cs="仿宋_GB2312"/>
          <w:b w:val="0"/>
          <w:bCs w:val="0"/>
          <w:kern w:val="2"/>
          <w:sz w:val="32"/>
          <w:szCs w:val="32"/>
          <w:highlight w:val="none"/>
          <w:lang w:val="en-US" w:eastAsia="zh-CN"/>
        </w:rPr>
        <w:t>经过袁家坝经发中心、与区民生产业专班多次审定</w:t>
      </w:r>
      <w:r>
        <w:rPr>
          <w:rFonts w:hint="eastAsia" w:ascii="仿宋_GB2312" w:hAnsi="仿宋_GB2312" w:eastAsia="仿宋_GB2312" w:cs="仿宋_GB2312"/>
          <w:b w:val="0"/>
          <w:bCs w:val="0"/>
          <w:kern w:val="2"/>
          <w:sz w:val="32"/>
          <w:szCs w:val="32"/>
          <w:highlight w:val="none"/>
          <w:lang w:val="zh-CN"/>
        </w:rPr>
        <w:t>。</w:t>
      </w:r>
      <w:r>
        <w:rPr>
          <w:rFonts w:hint="eastAsia" w:ascii="仿宋_GB2312" w:hAnsi="仿宋_GB2312" w:eastAsia="仿宋_GB2312" w:cs="仿宋_GB2312"/>
          <w:b w:val="0"/>
          <w:bCs w:val="0"/>
          <w:kern w:val="2"/>
          <w:sz w:val="32"/>
          <w:szCs w:val="32"/>
          <w:highlight w:val="none"/>
          <w:lang w:val="en-US" w:eastAsia="zh-CN"/>
        </w:rPr>
        <w:t>上石村具体组织饮水工程项目实施。</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完成结果。</w:t>
      </w:r>
      <w:r>
        <w:rPr>
          <w:rFonts w:hint="eastAsia" w:ascii="仿宋_GB2312" w:hAnsi="仿宋_GB2312" w:eastAsia="仿宋_GB2312" w:cs="仿宋_GB2312"/>
          <w:b w:val="0"/>
          <w:bCs w:val="0"/>
          <w:color w:val="000000"/>
          <w:sz w:val="32"/>
          <w:szCs w:val="32"/>
          <w:highlight w:val="none"/>
          <w:lang w:val="en-US" w:eastAsia="zh-CN"/>
        </w:rPr>
        <w:t>上石村饮水项目工程已完工，已审计。合符政策要求。</w:t>
      </w:r>
    </w:p>
    <w:p>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zh-CN"/>
        </w:rPr>
      </w:pP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二</w:t>
      </w: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专用绩效指标分析。</w:t>
      </w:r>
      <w:r>
        <w:rPr>
          <w:rFonts w:hint="eastAsia" w:ascii="仿宋_GB2312" w:hAnsi="仿宋_GB2312" w:eastAsia="仿宋_GB2312" w:cs="仿宋_GB2312"/>
          <w:b w:val="0"/>
          <w:bCs w:val="0"/>
          <w:kern w:val="2"/>
          <w:sz w:val="32"/>
          <w:szCs w:val="32"/>
          <w:highlight w:val="none"/>
          <w:lang w:val="en-US" w:eastAsia="zh-CN"/>
        </w:rPr>
        <w:t>该项目主要是改善上石村人畜安全饮水民生项目，</w:t>
      </w:r>
      <w:r>
        <w:rPr>
          <w:rFonts w:hint="eastAsia" w:ascii="仿宋_GB2312" w:hAnsi="仿宋_GB2312" w:eastAsia="仿宋_GB2312" w:cs="仿宋_GB2312"/>
          <w:b w:val="0"/>
          <w:bCs w:val="0"/>
          <w:color w:val="000000"/>
          <w:sz w:val="32"/>
          <w:szCs w:val="32"/>
          <w:highlight w:val="none"/>
          <w:lang w:val="en-US" w:eastAsia="zh-CN"/>
        </w:rPr>
        <w:t>项目已完工。</w:t>
      </w:r>
      <w:r>
        <w:rPr>
          <w:rFonts w:hint="eastAsia" w:ascii="仿宋_GB2312" w:hAnsi="仿宋_GB2312" w:eastAsia="仿宋_GB2312" w:cs="仿宋_GB2312"/>
          <w:b w:val="0"/>
          <w:bCs w:val="0"/>
          <w:kern w:val="2"/>
          <w:sz w:val="32"/>
          <w:szCs w:val="32"/>
          <w:highlight w:val="none"/>
          <w:lang w:val="zh-CN"/>
        </w:rPr>
        <w:t>在建项目围绕工程进度和资金拨付</w:t>
      </w:r>
      <w:r>
        <w:rPr>
          <w:rFonts w:hint="eastAsia" w:ascii="仿宋_GB2312" w:hAnsi="仿宋_GB2312" w:eastAsia="仿宋_GB2312" w:cs="仿宋_GB2312"/>
          <w:b w:val="0"/>
          <w:bCs w:val="0"/>
          <w:kern w:val="2"/>
          <w:sz w:val="32"/>
          <w:szCs w:val="32"/>
          <w:highlight w:val="none"/>
          <w:lang w:val="en-US" w:eastAsia="zh-CN"/>
        </w:rPr>
        <w:t>符合要求</w:t>
      </w:r>
      <w:r>
        <w:rPr>
          <w:rFonts w:hint="eastAsia" w:ascii="仿宋_GB2312" w:hAnsi="仿宋_GB2312" w:eastAsia="仿宋_GB2312" w:cs="仿宋_GB2312"/>
          <w:b w:val="0"/>
          <w:bCs w:val="0"/>
          <w:kern w:val="2"/>
          <w:sz w:val="32"/>
          <w:szCs w:val="32"/>
          <w:highlight w:val="none"/>
          <w:lang w:val="zh-CN"/>
        </w:rPr>
        <w:t>；建成项目</w:t>
      </w:r>
      <w:r>
        <w:rPr>
          <w:rFonts w:hint="eastAsia" w:ascii="仿宋_GB2312" w:hAnsi="仿宋_GB2312" w:eastAsia="仿宋_GB2312" w:cs="仿宋_GB2312"/>
          <w:b w:val="0"/>
          <w:bCs w:val="0"/>
          <w:kern w:val="2"/>
          <w:sz w:val="32"/>
          <w:szCs w:val="32"/>
          <w:highlight w:val="none"/>
          <w:lang w:val="en-US" w:eastAsia="zh-CN"/>
        </w:rPr>
        <w:t>经过袁家坝经发中心、村级两级</w:t>
      </w:r>
      <w:r>
        <w:rPr>
          <w:rFonts w:hint="eastAsia" w:ascii="仿宋_GB2312" w:hAnsi="仿宋_GB2312" w:eastAsia="仿宋_GB2312" w:cs="仿宋_GB2312"/>
          <w:b w:val="0"/>
          <w:bCs w:val="0"/>
          <w:kern w:val="2"/>
          <w:sz w:val="32"/>
          <w:szCs w:val="32"/>
          <w:highlight w:val="none"/>
          <w:lang w:val="zh-CN"/>
        </w:rPr>
        <w:t>验收。</w:t>
      </w:r>
    </w:p>
    <w:p>
      <w:pPr>
        <w:keepNext w:val="0"/>
        <w:keepLines w:val="0"/>
        <w:pageBreakBefore w:val="0"/>
        <w:widowControl w:val="0"/>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楷体_GB2312" w:hAnsi="楷体_GB2312" w:eastAsia="楷体_GB2312" w:cs="楷体_GB2312"/>
          <w:b w:val="0"/>
          <w:bCs w:val="0"/>
          <w:kern w:val="2"/>
          <w:sz w:val="32"/>
          <w:szCs w:val="32"/>
          <w:lang w:val="zh-CN"/>
        </w:rPr>
        <w:t>（三）特性指标绩效分析。</w:t>
      </w:r>
      <w:r>
        <w:rPr>
          <w:rFonts w:hint="eastAsia" w:ascii="仿宋_GB2312" w:hAnsi="仿宋_GB2312" w:eastAsia="仿宋_GB2312" w:cs="仿宋_GB2312"/>
          <w:b w:val="0"/>
          <w:bCs w:val="0"/>
          <w:kern w:val="2"/>
          <w:sz w:val="32"/>
          <w:szCs w:val="32"/>
          <w:highlight w:val="none"/>
          <w:lang w:val="en-US" w:eastAsia="zh-CN"/>
        </w:rPr>
        <w:t>该项目符合验收标准，达到行业基准水平。</w:t>
      </w:r>
    </w:p>
    <w:p>
      <w:pPr>
        <w:pStyle w:val="7"/>
        <w:keepNext w:val="0"/>
        <w:keepLines w:val="0"/>
        <w:pageBreakBefore w:val="0"/>
        <w:widowControl w:val="0"/>
        <w:kinsoku/>
        <w:wordWrap/>
        <w:overflowPunct/>
        <w:topLinePunct w:val="0"/>
        <w:autoSpaceDE/>
        <w:autoSpaceDN/>
        <w:bidi w:val="0"/>
        <w:spacing w:after="0" w:line="57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（四）个性指标绩效分析。</w:t>
      </w:r>
      <w:r>
        <w:rPr>
          <w:rFonts w:hint="eastAsia" w:ascii="仿宋_GB2312" w:hAnsi="仿宋_GB2312" w:eastAsia="仿宋_GB2312" w:cs="仿宋_GB2312"/>
          <w:b w:val="0"/>
          <w:bCs w:val="0"/>
          <w:color w:val="000000"/>
          <w:sz w:val="32"/>
          <w:szCs w:val="32"/>
          <w:highlight w:val="none"/>
          <w:lang w:val="en-US" w:eastAsia="zh-CN"/>
        </w:rPr>
        <w:t>各项指标完成良好。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项目已完成，已审计。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解决了上石村1100余人群众安全饮水问题。提升群众生活质量。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pPr>
        <w:rPr>
          <w:rFonts w:hint="eastAsia" w:ascii="仿宋_GB2312" w:hAnsi="仿宋_GB2312" w:eastAsia="仿宋_GB2312" w:cs="仿宋_GB2312"/>
          <w:b w:val="0"/>
          <w:bCs w:val="0"/>
          <w:sz w:val="32"/>
          <w:szCs w:val="32"/>
          <w:lang w:val="en-US" w:eastAsia="zh-CN"/>
        </w:rPr>
      </w:pPr>
    </w:p>
    <w:p>
      <w:pPr>
        <w:pStyle w:val="8"/>
        <w:rPr>
          <w:rFonts w:hint="eastAsia" w:ascii="仿宋_GB2312" w:hAnsi="仿宋_GB2312" w:eastAsia="仿宋_GB2312" w:cs="仿宋_GB2312"/>
          <w:b w:val="0"/>
          <w:bCs w:val="0"/>
          <w:sz w:val="32"/>
          <w:szCs w:val="32"/>
          <w:lang w:val="en-US" w:eastAsia="zh-CN"/>
        </w:rPr>
      </w:pP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袁家坝</w:t>
      </w:r>
      <w:r>
        <w:rPr>
          <w:rFonts w:hint="eastAsia" w:ascii="方正小标宋简体" w:hAnsi="宋体" w:eastAsia="方正小标宋简体"/>
          <w:sz w:val="44"/>
          <w:szCs w:val="44"/>
          <w:lang w:val="en-US"/>
        </w:rPr>
        <w:t>伙食团经费</w:t>
      </w:r>
      <w:r>
        <w:rPr>
          <w:rFonts w:hint="eastAsia" w:ascii="方正小标宋简体" w:hAnsi="宋体" w:eastAsia="方正小标宋简体"/>
          <w:sz w:val="44"/>
          <w:szCs w:val="44"/>
        </w:rPr>
        <w:t>项目支出绩效自评报告</w:t>
      </w: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袁家坝伙食团补助经费项目支出绩效自评报告如下。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袁家坝办事处设独立伙食团一个，保障指挥部工作人员、办事处职工及警务室工作人员共计30余人工作日早、午用餐。袁家坝办事处按人均300元，申请预算补助10.44万元，广开财预</w:t>
      </w:r>
      <w:r>
        <w:rPr>
          <w:rFonts w:hint="eastAsia" w:ascii="仿宋_GB2312" w:hAnsi="仿宋_GB2312" w:eastAsia="仿宋_GB2312" w:cs="仿宋_GB2312"/>
          <w:color w:val="000000"/>
          <w:sz w:val="32"/>
          <w:szCs w:val="32"/>
          <w:highlight w:val="none"/>
          <w:lang w:val="en-US" w:eastAsia="zh-CN"/>
        </w:rPr>
        <w:t>〔2024〕1-5号批复预算10.44万元。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保障袁家坝办事处机关工作正常运行，后勤保障提供有力保证，为干部职工节约时间。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2024年我办申报项目经费10.44万元。经财政审核后上报预算。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〔2024〕1-5号批复预算，下达我办资金10.44万元。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我办按年初目标支付职工伙食团购食材、电费、水费及燃气费。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项目由办公室负责，每日由专人负责食堂管理及采购工作，专人进行食材验收等工作。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项目按要求和年初目标完成。</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通过对职工后勤保障，为职工提供较好工作环境，提高职工工作积极性，同时为职工每日节约时间2小时。职工满意度较好。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pPr>
        <w:pStyle w:val="13"/>
        <w:ind w:firstLine="640" w:firstLineChars="200"/>
        <w:jc w:val="both"/>
        <w:rPr>
          <w:rFonts w:hint="eastAsia" w:eastAsia="楷体_GB231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pPr>
        <w:pStyle w:val="8"/>
        <w:rPr>
          <w:rFonts w:hint="eastAsia"/>
          <w:lang w:val="en-US" w:eastAsia="zh-CN"/>
        </w:rPr>
      </w:pPr>
    </w:p>
    <w:p>
      <w:pPr>
        <w:pStyle w:val="8"/>
        <w:rPr>
          <w:rFonts w:hint="eastAsia"/>
          <w:lang w:val="en-US" w:eastAsia="zh-CN"/>
        </w:rPr>
      </w:pP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袁家坝</w:t>
      </w:r>
      <w:r>
        <w:rPr>
          <w:rFonts w:hint="eastAsia" w:ascii="方正小标宋简体" w:hAnsi="宋体" w:eastAsia="方正小标宋简体"/>
          <w:sz w:val="44"/>
          <w:szCs w:val="44"/>
          <w:lang w:val="en-US"/>
        </w:rPr>
        <w:t>环境</w:t>
      </w:r>
      <w:r>
        <w:rPr>
          <w:rFonts w:hint="eastAsia" w:ascii="方正小标宋简体" w:hAnsi="宋体" w:eastAsia="方正小标宋简体"/>
          <w:sz w:val="44"/>
          <w:szCs w:val="44"/>
          <w:lang w:val="en-US" w:eastAsia="zh-CN"/>
        </w:rPr>
        <w:t>整治经费</w:t>
      </w:r>
      <w:r>
        <w:rPr>
          <w:rFonts w:hint="eastAsia" w:ascii="方正小标宋简体" w:hAnsi="宋体" w:eastAsia="方正小标宋简体"/>
          <w:sz w:val="44"/>
          <w:szCs w:val="44"/>
        </w:rPr>
        <w:t>项目支出绩效</w:t>
      </w: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自评报告</w:t>
      </w: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袁家坝环境整治项目支出绩效自评报告如下。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2024年袁家坝环境卫生整治经费5万元</w:t>
      </w:r>
      <w:r>
        <w:rPr>
          <w:rFonts w:hint="eastAsia" w:ascii="仿宋_GB2312" w:hAnsi="仿宋_GB2312" w:eastAsia="仿宋_GB2312" w:cs="仿宋_GB2312"/>
          <w:b w:val="0"/>
          <w:bCs w:val="0"/>
          <w:sz w:val="32"/>
          <w:szCs w:val="32"/>
          <w:lang w:val="en-US" w:eastAsia="zh-CN"/>
        </w:rPr>
        <w:t>。广开财预〔2024〕1-5号批复共计预算5万元。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eastAsia="仿宋_GB2312" w:cs="仿宋_GB2312"/>
          <w:sz w:val="32"/>
          <w:szCs w:val="32"/>
          <w:lang w:val="en-US" w:eastAsia="zh-CN"/>
        </w:rPr>
        <w:t>集中</w:t>
      </w:r>
      <w:r>
        <w:rPr>
          <w:rFonts w:ascii="仿宋_GB2312" w:eastAsia="仿宋_GB2312" w:cs="仿宋_GB2312"/>
          <w:sz w:val="32"/>
          <w:szCs w:val="32"/>
        </w:rPr>
        <w:t>开展环境</w:t>
      </w:r>
      <w:r>
        <w:rPr>
          <w:rFonts w:hint="eastAsia" w:ascii="仿宋_GB2312" w:eastAsia="仿宋_GB2312" w:cs="仿宋_GB2312"/>
          <w:sz w:val="32"/>
          <w:szCs w:val="32"/>
          <w:lang w:val="en-US" w:eastAsia="zh-CN"/>
        </w:rPr>
        <w:t>卫生整治不少于4次</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eastAsia="仿宋_GB2312" w:cs="仿宋_GB2312"/>
          <w:sz w:val="32"/>
          <w:szCs w:val="32"/>
          <w:lang w:val="en-US" w:eastAsia="zh-CN"/>
        </w:rPr>
        <w:t>开展全办环境卫生检查4次以上，对辖区灭虫害消杀不少于4次。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eastAsia="仿宋_GB2312" w:cs="仿宋_GB2312"/>
          <w:sz w:val="32"/>
          <w:szCs w:val="32"/>
          <w:lang w:val="en-US" w:eastAsia="zh-CN"/>
        </w:rPr>
        <w:t>做好各类会议召开辖区环境卫生整治工作</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2024年我办申报项目经费共计5万元。经财政审核后批复预算。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〔2024〕1-5号批复预算，下达我办资金5万元。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我办按年初目标主要支付辖区卫生整治费用。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项目由经济运行组负责，开展环境整治8余次。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z w:val="32"/>
          <w:szCs w:val="32"/>
          <w:highlight w:val="none"/>
          <w:lang w:eastAsia="zh-CN"/>
        </w:rPr>
        <w:t>完成了</w:t>
      </w:r>
      <w:r>
        <w:rPr>
          <w:rFonts w:hint="eastAsia" w:ascii="仿宋_GB2312" w:hAnsi="仿宋_GB2312" w:eastAsia="仿宋_GB2312" w:cs="仿宋_GB2312"/>
          <w:b w:val="0"/>
          <w:bCs w:val="0"/>
          <w:sz w:val="32"/>
          <w:szCs w:val="32"/>
          <w:lang w:val="en-US" w:eastAsia="zh-CN"/>
        </w:rPr>
        <w:t>全年开展环境整治8次。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通过宣传，提升改善辖区居住环境。群众满意度良好。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pPr>
        <w:pStyle w:val="13"/>
        <w:ind w:firstLine="640" w:firstLineChars="200"/>
        <w:jc w:val="both"/>
        <w:rPr>
          <w:rFonts w:hint="eastAsia" w:eastAsia="楷体_GB231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pPr>
        <w:pStyle w:val="8"/>
        <w:rPr>
          <w:rFonts w:hint="eastAsia"/>
          <w:lang w:val="en-US" w:eastAsia="zh-CN"/>
        </w:rPr>
      </w:pPr>
    </w:p>
    <w:p>
      <w:pPr>
        <w:pStyle w:val="8"/>
        <w:rPr>
          <w:rFonts w:hint="eastAsia"/>
          <w:lang w:val="en-US" w:eastAsia="zh-CN"/>
        </w:rPr>
      </w:pP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袁家坝综治</w:t>
      </w:r>
      <w:r>
        <w:rPr>
          <w:rFonts w:hint="eastAsia" w:ascii="方正小标宋简体" w:hAnsi="宋体" w:eastAsia="方正小标宋简体"/>
          <w:sz w:val="44"/>
          <w:szCs w:val="44"/>
          <w:lang w:val="en-US"/>
        </w:rPr>
        <w:t>维稳</w:t>
      </w:r>
      <w:r>
        <w:rPr>
          <w:rFonts w:hint="eastAsia" w:ascii="方正小标宋简体" w:hAnsi="宋体" w:eastAsia="方正小标宋简体"/>
          <w:sz w:val="44"/>
          <w:szCs w:val="44"/>
          <w:lang w:val="en-US" w:eastAsia="zh-CN"/>
        </w:rPr>
        <w:t>工作经费项目</w:t>
      </w:r>
      <w:r>
        <w:rPr>
          <w:rFonts w:hint="eastAsia" w:ascii="方正小标宋简体" w:hAnsi="宋体" w:eastAsia="方正小标宋简体"/>
          <w:sz w:val="44"/>
          <w:szCs w:val="44"/>
        </w:rPr>
        <w:t>支出绩效自评报告</w:t>
      </w: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袁家坝信访维稳项目、袁家坝信访维稳专项资金项目支出绩效自评报告如下。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袁家坝办事处职能简介负责辖区内企业服务、安全生产、信访维稳、房屋征收与补偿、计划生育、民政、劳动就业、社会保障、环境卫生等工作。根据2024年工作开展及矛盾化解申报预算共计6万元。</w:t>
      </w:r>
      <w:r>
        <w:rPr>
          <w:rFonts w:hint="eastAsia" w:ascii="仿宋_GB2312" w:hAnsi="仿宋_GB2312" w:eastAsia="仿宋_GB2312" w:cs="仿宋_GB2312"/>
          <w:b w:val="0"/>
          <w:bCs w:val="0"/>
          <w:sz w:val="32"/>
          <w:szCs w:val="32"/>
          <w:lang w:val="en-US" w:eastAsia="zh-CN"/>
        </w:rPr>
        <w:t>广开财预〔2024〕1-5号批复预算6万。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在依法治理、城环综治、扫黑除恶、信访、</w:t>
      </w:r>
      <w:r>
        <w:rPr>
          <w:rFonts w:hint="eastAsia" w:ascii="仿宋_GB2312" w:hAnsi="仿宋_GB2312" w:eastAsia="仿宋_GB2312" w:cs="仿宋_GB2312"/>
          <w:b w:val="0"/>
          <w:bCs w:val="0"/>
          <w:color w:val="auto"/>
          <w:sz w:val="32"/>
          <w:szCs w:val="32"/>
          <w:shd w:val="clear" w:color="auto" w:fill="FFFFFF"/>
          <w:lang w:val="en-US" w:eastAsia="zh-CN"/>
        </w:rPr>
        <w:t>禁毒、防邪、反诈、网格化管理、矛盾纠纷多元化解、</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国家安全人民防线建设以及</w:t>
      </w:r>
      <w:r>
        <w:rPr>
          <w:rFonts w:hint="eastAsia" w:ascii="仿宋_GB2312" w:hAnsi="仿宋_GB2312" w:eastAsia="仿宋_GB2312" w:cs="仿宋_GB2312"/>
          <w:b w:val="0"/>
          <w:bCs w:val="0"/>
          <w:color w:val="auto"/>
          <w:sz w:val="32"/>
          <w:szCs w:val="32"/>
          <w:shd w:val="clear" w:color="auto" w:fill="FFFFFF"/>
          <w:lang w:val="en-US" w:eastAsia="zh-CN"/>
        </w:rPr>
        <w:t>铁路护路输油气管线护线等领域统筹发力，尤其聚焦元旦、春节、“两会”以及成都大运会等时间节点精研细判，确保万无一失</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2024年我办申报项目经费共计6万元。经财政审核后批复预算。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广开财预〔2024〕1-5号批复预算6万。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我办按目标主要支付信访宣传费、化解矛盾支出差旅费、劳务费，村社维稳经费、办公费。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pStyle w:val="14"/>
        <w:keepNext w:val="0"/>
        <w:keepLines w:val="0"/>
        <w:pageBreakBefore w:val="0"/>
        <w:widowControl w:val="0"/>
        <w:kinsoku/>
        <w:wordWrap/>
        <w:overflowPunct/>
        <w:topLinePunct w:val="0"/>
        <w:autoSpaceDE/>
        <w:autoSpaceDN/>
        <w:bidi w:val="0"/>
        <w:adjustRightInd/>
        <w:snapToGrid/>
        <w:spacing w:line="51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充分发挥人民调解功能，</w:t>
      </w:r>
      <w:r>
        <w:rPr>
          <w:rFonts w:hint="eastAsia" w:ascii="仿宋_GB2312" w:hAnsi="仿宋_GB2312" w:eastAsia="仿宋_GB2312" w:cs="仿宋_GB2312"/>
          <w:sz w:val="32"/>
          <w:szCs w:val="32"/>
          <w:lang w:val="en-US" w:eastAsia="zh-CN"/>
        </w:rPr>
        <w:t>受理群众各类信访件，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12345政务热线电话投诉件件，化解矛盾于基层，</w:t>
      </w:r>
      <w:r>
        <w:rPr>
          <w:rFonts w:hint="eastAsia" w:ascii="仿宋_GB2312" w:hAnsi="仿宋_GB2312" w:eastAsia="仿宋_GB2312" w:cs="仿宋_GB2312"/>
          <w:color w:val="auto"/>
          <w:sz w:val="32"/>
          <w:szCs w:val="32"/>
        </w:rPr>
        <w:t>办结率、满意度均达100%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常态化扫黑除恶，设立举报平台，做到涉黑涉恶露头即打。</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广泛动员安装“国家反诈中心”APP，确保每户至少1人，高筑反诈防火墙。在国家安全人民防线和铁路护路等领域广泛宣传，确保工作步步到位，不出差错。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仿宋_GB2312" w:hAnsi="仿宋_GB2312" w:eastAsia="仿宋_GB2312" w:cs="仿宋_GB2312"/>
          <w:sz w:val="32"/>
          <w:szCs w:val="32"/>
          <w:lang w:val="en-US" w:eastAsia="zh-CN"/>
        </w:rPr>
        <w:t>受理群众各类信访20余件，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12345政务热线电话投诉件70余件，化解矛盾于基层，</w:t>
      </w:r>
      <w:r>
        <w:rPr>
          <w:rFonts w:hint="eastAsia" w:ascii="仿宋_GB2312" w:hAnsi="仿宋_GB2312" w:eastAsia="仿宋_GB2312" w:cs="仿宋_GB2312"/>
          <w:color w:val="auto"/>
          <w:sz w:val="32"/>
          <w:szCs w:val="32"/>
        </w:rPr>
        <w:t>办结率、满意度均达100%</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受理群众各类信访20余件，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12345政务热线电话投诉件70余件，化解矛盾于基层，</w:t>
      </w:r>
      <w:r>
        <w:rPr>
          <w:rFonts w:hint="eastAsia" w:ascii="仿宋_GB2312" w:hAnsi="仿宋_GB2312" w:eastAsia="仿宋_GB2312" w:cs="仿宋_GB2312"/>
          <w:color w:val="auto"/>
          <w:sz w:val="32"/>
          <w:szCs w:val="32"/>
        </w:rPr>
        <w:t>办结率、满意度均达100%</w:t>
      </w:r>
      <w:r>
        <w:rPr>
          <w:rFonts w:hint="eastAsia" w:ascii="仿宋_GB2312" w:hAnsi="仿宋_GB2312" w:eastAsia="仿宋_GB2312" w:cs="仿宋_GB2312"/>
          <w:color w:val="auto"/>
          <w:sz w:val="32"/>
          <w:szCs w:val="32"/>
          <w:lang w:eastAsia="zh-CN"/>
        </w:rPr>
        <w:t>。</w:t>
      </w: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重复信访问题还存在，还需要加大力度化解。由于开发发展，还存在新的信访矛盾隐患。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法制宣传、信访条例宣传不松懈，同时提升干部职工的业务水平，对工作人员依法、依规办事能力严格考核。提升服务水平。</w:t>
      </w:r>
    </w:p>
    <w:p>
      <w:pPr>
        <w:pStyle w:val="8"/>
        <w:rPr>
          <w:rFonts w:hint="eastAsia"/>
          <w:lang w:val="en-US" w:eastAsia="zh-CN"/>
        </w:rPr>
      </w:pP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年袁家坝土地进出平衡整治</w:t>
      </w:r>
    </w:p>
    <w:p>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现将我办袁家坝土地进出口平衡整治项目支出绩效自评报告如下。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辖区村社区土地复垦261.15亩，按面积申报该资金。广开财预下〔2024〕192号批复预算71.95万元。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1.完成辖区土地复垦261.15亩</w:t>
      </w:r>
      <w:r>
        <w:rPr>
          <w:rFonts w:hint="eastAsia" w:ascii="仿宋_GB2312" w:hAnsi="仿宋_GB2312" w:eastAsia="仿宋_GB2312" w:cs="仿宋_GB2312"/>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2024年袁家坝办事处申报项目经费71.95万元。财政审核后批复预算71.95万元。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广开财预下广开财预下〔2024〕192号批复预算71.95万元。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用于支付辖区村社区土地复垦费用。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由袁家坝办事处具体负责实施，组织会议召开。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完成土地复垦261.15亩。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default" w:ascii="仿宋_GB2312" w:hAnsi="仿宋_GB2312" w:eastAsia="仿宋_GB2312" w:cs="仿宋_GB2312"/>
          <w:sz w:val="32"/>
          <w:szCs w:val="36"/>
          <w:lang w:val="en-US" w:eastAsia="zh-CN"/>
        </w:rPr>
      </w:pPr>
      <w:r>
        <w:rPr>
          <w:rFonts w:hint="eastAsia" w:ascii="仿宋_GB2312" w:eastAsia="仿宋_GB2312" w:cs="仿宋_GB2312"/>
          <w:sz w:val="32"/>
          <w:szCs w:val="32"/>
          <w:lang w:val="en-US" w:eastAsia="zh-CN"/>
        </w:rPr>
        <w:t>进一步保障辖区耕地使用率。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pPr>
        <w:pStyle w:val="8"/>
      </w:pPr>
    </w:p>
    <w:p>
      <w:pPr>
        <w:pStyle w:val="8"/>
      </w:pPr>
    </w:p>
    <w:p>
      <w:pPr>
        <w:pStyle w:val="8"/>
      </w:pPr>
    </w:p>
    <w:p>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pPr>
        <w:pStyle w:val="2"/>
        <w:rPr>
          <w:rFonts w:hint="eastAsia" w:ascii="宋体" w:hAnsi="宋体" w:eastAsia="宋体" w:cs="宋体"/>
          <w:color w:val="auto"/>
          <w:kern w:val="0"/>
          <w:sz w:val="32"/>
          <w:szCs w:val="32"/>
          <w:highlight w:val="none"/>
          <w:lang w:val="en-US" w:eastAsia="zh-CN" w:bidi="ar-SA"/>
        </w:rPr>
      </w:pPr>
    </w:p>
    <w:p>
      <w:pPr>
        <w:pStyle w:val="2"/>
        <w:rPr>
          <w:rFonts w:hint="eastAsia" w:ascii="宋体" w:hAnsi="宋体" w:eastAsia="宋体" w:cs="宋体"/>
          <w:color w:val="auto"/>
          <w:kern w:val="0"/>
          <w:sz w:val="32"/>
          <w:szCs w:val="32"/>
          <w:highlight w:val="none"/>
          <w:lang w:val="en-US" w:eastAsia="zh-CN" w:bidi="ar-SA"/>
        </w:rPr>
      </w:pPr>
    </w:p>
    <w:p>
      <w:pPr>
        <w:pStyle w:val="2"/>
        <w:rPr>
          <w:rFonts w:hint="eastAsia" w:ascii="宋体" w:hAnsi="宋体" w:eastAsia="宋体" w:cs="宋体"/>
          <w:color w:val="auto"/>
          <w:kern w:val="0"/>
          <w:sz w:val="32"/>
          <w:szCs w:val="32"/>
          <w:highlight w:val="none"/>
          <w:lang w:val="en-US" w:eastAsia="zh-CN" w:bidi="ar-SA"/>
        </w:rPr>
      </w:pPr>
    </w:p>
    <w:p>
      <w:pPr>
        <w:pStyle w:val="2"/>
        <w:rPr>
          <w:rFonts w:hint="eastAsia" w:ascii="宋体" w:hAnsi="宋体" w:eastAsia="宋体" w:cs="宋体"/>
          <w:color w:val="auto"/>
          <w:kern w:val="0"/>
          <w:sz w:val="32"/>
          <w:szCs w:val="32"/>
          <w:highlight w:val="none"/>
          <w:lang w:val="en-US" w:eastAsia="zh-CN" w:bidi="ar-SA"/>
        </w:rPr>
      </w:pPr>
    </w:p>
    <w:p>
      <w:pPr>
        <w:pStyle w:val="2"/>
        <w:rPr>
          <w:rFonts w:hint="eastAsia" w:ascii="宋体" w:hAnsi="宋体" w:eastAsia="宋体" w:cs="宋体"/>
          <w:color w:val="auto"/>
          <w:kern w:val="0"/>
          <w:sz w:val="32"/>
          <w:szCs w:val="32"/>
          <w:highlight w:val="none"/>
          <w:lang w:val="en-US" w:eastAsia="zh-CN" w:bidi="ar-SA"/>
        </w:rPr>
      </w:pPr>
    </w:p>
    <w:p>
      <w:pPr>
        <w:pStyle w:val="2"/>
        <w:rPr>
          <w:rFonts w:hint="eastAsia" w:ascii="宋体" w:hAnsi="宋体" w:eastAsia="宋体" w:cs="宋体"/>
          <w:color w:val="auto"/>
          <w:kern w:val="0"/>
          <w:sz w:val="32"/>
          <w:szCs w:val="32"/>
          <w:highlight w:val="none"/>
          <w:lang w:val="en-US" w:eastAsia="zh-CN" w:bidi="ar-SA"/>
        </w:rPr>
      </w:pPr>
    </w:p>
    <w:p>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部门预算项目支出绩效自评表（202</w:t>
      </w:r>
      <w:r>
        <w:rPr>
          <w:rFonts w:hint="eastAsia" w:ascii="宋体" w:hAnsi="宋体" w:cs="宋体"/>
          <w:color w:val="auto"/>
          <w:kern w:val="0"/>
          <w:sz w:val="32"/>
          <w:szCs w:val="32"/>
          <w:highlight w:val="none"/>
          <w:lang w:val="en-US" w:eastAsia="zh-CN" w:bidi="ar-SA"/>
        </w:rPr>
        <w:t>4</w:t>
      </w:r>
      <w:r>
        <w:rPr>
          <w:rFonts w:hint="eastAsia" w:ascii="宋体" w:hAnsi="宋体" w:eastAsia="宋体" w:cs="宋体"/>
          <w:color w:val="auto"/>
          <w:kern w:val="0"/>
          <w:sz w:val="32"/>
          <w:szCs w:val="32"/>
          <w:highlight w:val="none"/>
          <w:lang w:val="en-US" w:eastAsia="zh-CN" w:bidi="ar-SA"/>
        </w:rPr>
        <w:t>年度）</w:t>
      </w:r>
    </w:p>
    <w:p>
      <w:pPr>
        <w:spacing w:line="600" w:lineRule="exact"/>
        <w:ind w:firstLine="2640" w:firstLineChars="600"/>
        <w:jc w:val="both"/>
        <w:outlineLvl w:val="0"/>
        <w:rPr>
          <w:rFonts w:hint="eastAsia" w:ascii="黑体" w:hAnsi="黑体" w:eastAsia="黑体"/>
          <w:color w:val="auto"/>
          <w:sz w:val="44"/>
          <w:szCs w:val="44"/>
          <w:highlight w:val="none"/>
        </w:rPr>
      </w:pPr>
    </w:p>
    <w:tbl>
      <w:tblPr>
        <w:tblStyle w:val="17"/>
        <w:tblW w:w="0" w:type="auto"/>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724"/>
        <w:gridCol w:w="868"/>
        <w:gridCol w:w="970"/>
        <w:gridCol w:w="452"/>
        <w:gridCol w:w="765"/>
        <w:gridCol w:w="452"/>
        <w:gridCol w:w="920"/>
        <w:gridCol w:w="493"/>
        <w:gridCol w:w="493"/>
        <w:gridCol w:w="2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51088924T000010793979-龙腾、龙翔公司困难职工补助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妥善处置龙腾、龙翔公司欠付职工工资、社保一事</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企业困难职工满意度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51088924T000011579491-袁家坝铝产业园指挥部经费项目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维护袁家坝铝产业园日常运行，完成目标任务，促进园区发展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招商引资个数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固定资产投资增长率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新增就业岗位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项目负责人：张莆林</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51088924T000011663509-袁家坝党建经费项目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开展党建宣传2次、办理案件3件、订阅报刊、促进党建、纪检工作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党建宣传开展次数.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纪委案件办理.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报刊订阅数.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征订工作完成率.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立案及时率.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党员模范作用.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51088924T000011663516-袁家坝创文工作项目经费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开展全国文明城市创建宣传4次，设施维护10次以上，完成文明城市创建市区安排的工作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创文宣传开展次数.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市民知晓率.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环境卫生整治达标率.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51088924T000011663532-袁家坝应急用车经费项目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保障办事处公务应急用车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重大安全事故率.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51088924T000011663541-袁家坝办事处伙食团经费项目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保障35名职工用餐，为办事处工作顺利开展提供后勤保障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职工就餐率.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后勤保障.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人均减少通勤时间（天）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就餐职工满意度.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51088924T000011663551-袁家坝交警队伙食经费项目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保障交警队职工用餐，为其提供后勤保障服务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职工就餐率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人均减少通勤时间（天）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后勤保障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就餐职工满意度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51088924T000011663558-袁家坝综治维稳工作经费项目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办事处信访、维稳、防邪、禁毒、扫黑除恶等日常工作正常运行，宣传次数3次，保障辖区社会稳定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线索处置率.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信访举报处置率.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重大案件降低率.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重大群体事件.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律师费.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51088924T000011663566-袁家坝武装经费项目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保障办事处武装工作正常开展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项目负责人：张莆林</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51088924T000011663584-袁家坝环境整治经费项目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开展环境整治4次，集中检查4次，辖区内环境质量逐步改善，民众满意度上升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集中整治次数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卫生抽查合格率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垃圾及时处置率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51088924T000011663601-袁家坝防汛经费项目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完成河长制公示牌更新，开展汛前安全专项检查及汛期安全动态查看，加强汛期值班值守，确保安全度汛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防汛值班值守天数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河流公示牌更新维护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值班人员在岗率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重大洪灾事故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水域水质达标率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51088924T000011663606-袁家坝应急管理经费项目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购买应急物资，开展宣传4次，促进辖区安全、无森林火灾事故</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购买应急物资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应急防火宣传活动次数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森林火灾损失率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森林火灾事故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物资费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51088924Y000011335325-村社运行经费（2024）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按时发放2024年村社干部工资、绩效及保险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保障村社单位.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基础治理有效度.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村务公开率.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51088924Y000011335364-村社干部报酬、保险、绩效（2024）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按时拨付村社区工资、绩效、保险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107.47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107.47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队伍稳定率.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51088925T000012153795-中国有色金属工业协会咨询服务项目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促进园区铝产业发展，为园区提供铝基新材料产业发展提供技术咨询</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咨询服务项目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园区铝产业高质量发展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园区企业经济效益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咨询服务满意度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咨询服务合同费用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项目负责人：张莆林</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51088925T000012164658-袁家坝纪检工作经费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确保办事处纪检工作正常开展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完成案件查办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干部队伍廉洁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辖区服务对象满意率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51088925T000012188592-袁家坝参加第十九届中国铝业峰会资金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推进建设中国绿色铝都园区建设及招商引资</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按要求完成铝产业投资推介会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现场签约企业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项目负责人：张莆林</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51088925T000012336718-袁家坝办事处2023年优秀人员奖金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完成优秀人员奖金发放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51088925T000012627804-袁家坝指挥部环境卫生整治经费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确保二季度“拉链评比”现场会暨二季度重大项目现场推进活动等圆满完成</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迎接各类调研活动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环境卫生整治次数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辖区企业经济效益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所需环境卫生整治经费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51088925T000012665938-防返贫监测帮扶村级网格员补助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做好防返贫监测帮扶工作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涉及村个数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涉及帮扶群众生活改善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51088925T000012849516-袁家坝“拼经济比发展”财政激励约束政策项目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完成好“拼经济、比发展”指标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新进规工业企业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固定资产投资增长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辖区企业持续发展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项目负责人：张莆林</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51088925T000013082229-袁家坝2023年土地进出平衡整治项目补助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完成好辖区土地进出口平衡工作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完成土地复垦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完成亩数通过审核率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耕地恢复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每亩补助资金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51088925T000013083044-实美公司电力改迁项目补助资金项目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完成10KV石盘社区一、二线电力线路改迁工程</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涉及电力改迁项目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电力改迁质量目标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涉及电力改迁企业效益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所需项目资金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51088925T000013245150-袁家坝上石村饮水净化项目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完成上石村饮水净化项目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涉及村组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涉及村安全用水覆盖率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51088925T000013284560-袁家坝迎调研环境卫生整治费用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圆满完成领导调研铝基新材料企业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环境卫生整治次数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调研企业经济效益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涉及环境整治所需资金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项目负责人：张莆林</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51088925T000013285050-袁家坝指挥部摩托产业园项目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促进园区发展，完成招商任务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确保招入相关企业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合同签订期限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提高辖区铝基新材料相关企业效益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合作协议签订金额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项目负责人：张莆林</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51088925T000013294620-袁家坝2023年未休公休补助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拨付2023年职工未休公休补助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发放职工人数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财务负责人：张莆林</w:t>
            </w:r>
          </w:p>
        </w:tc>
      </w:tr>
    </w:tbl>
    <w:p>
      <w:pPr>
        <w:spacing w:line="600" w:lineRule="exact"/>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 附表</w:t>
      </w:r>
      <w:bookmarkEnd w:id="53"/>
      <w:bookmarkEnd w:id="55"/>
      <w:bookmarkStart w:id="56"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22"/>
          <w:rFonts w:hint="eastAsia" w:ascii="仿宋" w:hAnsi="仿宋" w:eastAsia="仿宋"/>
          <w:b w:val="0"/>
          <w:bCs w:val="0"/>
          <w:color w:val="auto"/>
          <w:highlight w:val="none"/>
        </w:rPr>
        <w:t>入支出决算总表</w:t>
      </w:r>
      <w:bookmarkEnd w:id="56"/>
    </w:p>
    <w:p>
      <w:pPr>
        <w:pStyle w:val="5"/>
        <w:rPr>
          <w:rFonts w:ascii="仿宋" w:hAnsi="仿宋" w:eastAsia="仿宋"/>
          <w:color w:val="auto"/>
          <w:highlight w:val="none"/>
        </w:rPr>
      </w:pPr>
      <w:bookmarkStart w:id="57" w:name="_Toc15396620"/>
      <w:r>
        <w:rPr>
          <w:rFonts w:hint="eastAsia" w:ascii="仿宋" w:hAnsi="仿宋" w:eastAsia="仿宋"/>
          <w:b w:val="0"/>
          <w:color w:val="auto"/>
          <w:highlight w:val="none"/>
        </w:rPr>
        <w:t>二、收</w:t>
      </w:r>
      <w:r>
        <w:rPr>
          <w:rStyle w:val="22"/>
          <w:rFonts w:hint="eastAsia" w:ascii="仿宋" w:hAnsi="仿宋" w:eastAsia="仿宋"/>
          <w:b w:val="0"/>
          <w:bCs w:val="0"/>
          <w:color w:val="auto"/>
          <w:highlight w:val="none"/>
        </w:rPr>
        <w:t>入决算表</w:t>
      </w:r>
      <w:bookmarkEnd w:id="57"/>
    </w:p>
    <w:p>
      <w:pPr>
        <w:pStyle w:val="5"/>
        <w:rPr>
          <w:rFonts w:ascii="仿宋" w:hAnsi="仿宋" w:eastAsia="仿宋"/>
          <w:color w:val="auto"/>
          <w:highlight w:val="none"/>
        </w:rPr>
      </w:pPr>
      <w:bookmarkStart w:id="58" w:name="_Toc15396621"/>
      <w:r>
        <w:rPr>
          <w:rStyle w:val="2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2"/>
          <w:rFonts w:hint="eastAsia" w:ascii="仿宋" w:hAnsi="仿宋" w:eastAsia="仿宋"/>
          <w:b w:val="0"/>
          <w:bCs w:val="0"/>
          <w:color w:val="auto"/>
          <w:highlight w:val="none"/>
        </w:rPr>
        <w:t>出决算表</w:t>
      </w:r>
      <w:bookmarkEnd w:id="58"/>
    </w:p>
    <w:p>
      <w:pPr>
        <w:pStyle w:val="5"/>
        <w:rPr>
          <w:rFonts w:ascii="仿宋" w:hAnsi="仿宋" w:eastAsia="仿宋"/>
          <w:b w:val="0"/>
          <w:color w:val="auto"/>
          <w:highlight w:val="none"/>
        </w:rPr>
      </w:pPr>
      <w:bookmarkStart w:id="59" w:name="_Toc15396622"/>
      <w:r>
        <w:rPr>
          <w:rStyle w:val="2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政拨款收入支出决算总表</w:t>
      </w:r>
      <w:bookmarkEnd w:id="59"/>
    </w:p>
    <w:p>
      <w:pPr>
        <w:pStyle w:val="5"/>
        <w:rPr>
          <w:rStyle w:val="22"/>
          <w:rFonts w:ascii="仿宋" w:hAnsi="仿宋" w:eastAsia="仿宋"/>
          <w:b w:val="0"/>
          <w:bCs w:val="0"/>
          <w:color w:val="auto"/>
          <w:highlight w:val="none"/>
        </w:rPr>
      </w:pPr>
      <w:bookmarkStart w:id="60" w:name="_Toc15396623"/>
      <w:r>
        <w:rPr>
          <w:rStyle w:val="2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政拨款支出决算明细表</w:t>
      </w:r>
      <w:bookmarkEnd w:id="60"/>
      <w:bookmarkStart w:id="61" w:name="_Toc15396624"/>
    </w:p>
    <w:p>
      <w:pPr>
        <w:pStyle w:val="5"/>
        <w:rPr>
          <w:rFonts w:ascii="仿宋" w:hAnsi="仿宋" w:eastAsia="仿宋"/>
          <w:color w:val="auto"/>
          <w:highlight w:val="none"/>
        </w:rPr>
      </w:pPr>
      <w:r>
        <w:rPr>
          <w:rStyle w:val="2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般公共预算财政拨款支出决算表</w:t>
      </w:r>
      <w:bookmarkEnd w:id="61"/>
    </w:p>
    <w:p>
      <w:pPr>
        <w:pStyle w:val="5"/>
        <w:rPr>
          <w:rFonts w:ascii="仿宋" w:hAnsi="仿宋" w:eastAsia="仿宋"/>
          <w:color w:val="auto"/>
          <w:highlight w:val="none"/>
        </w:rPr>
      </w:pPr>
      <w:bookmarkStart w:id="62" w:name="_Toc15396625"/>
      <w:r>
        <w:rPr>
          <w:rStyle w:val="2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般公共预算财政拨款支出决算明细表</w:t>
      </w:r>
      <w:bookmarkEnd w:id="62"/>
    </w:p>
    <w:p>
      <w:pPr>
        <w:pStyle w:val="5"/>
        <w:rPr>
          <w:rFonts w:ascii="仿宋" w:hAnsi="仿宋" w:eastAsia="仿宋"/>
          <w:color w:val="auto"/>
          <w:highlight w:val="none"/>
        </w:rPr>
      </w:pPr>
      <w:bookmarkStart w:id="63" w:name="_Toc15396626"/>
      <w:r>
        <w:rPr>
          <w:rStyle w:val="2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般公共预算财政拨款基本支出决算表</w:t>
      </w:r>
      <w:bookmarkEnd w:id="63"/>
    </w:p>
    <w:p>
      <w:pPr>
        <w:pStyle w:val="5"/>
        <w:rPr>
          <w:rFonts w:ascii="仿宋" w:hAnsi="仿宋" w:eastAsia="仿宋"/>
          <w:color w:val="auto"/>
          <w:highlight w:val="none"/>
        </w:rPr>
      </w:pPr>
      <w:bookmarkStart w:id="64" w:name="_Toc15396627"/>
      <w:r>
        <w:rPr>
          <w:rStyle w:val="2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般公共预算财政拨款项目支出决算表</w:t>
      </w:r>
      <w:bookmarkEnd w:id="64"/>
    </w:p>
    <w:p>
      <w:pPr>
        <w:pStyle w:val="5"/>
        <w:rPr>
          <w:rFonts w:ascii="仿宋" w:hAnsi="仿宋" w:eastAsia="仿宋"/>
          <w:color w:val="auto"/>
          <w:highlight w:val="none"/>
        </w:rPr>
      </w:pPr>
      <w:bookmarkStart w:id="65" w:name="_Toc15396628"/>
      <w:r>
        <w:rPr>
          <w:rStyle w:val="22"/>
          <w:rFonts w:hint="eastAsia" w:ascii="仿宋" w:hAnsi="仿宋" w:eastAsia="仿宋"/>
          <w:b w:val="0"/>
          <w:bCs w:val="0"/>
          <w:color w:val="auto"/>
          <w:highlight w:val="none"/>
        </w:rPr>
        <w:t>十、</w:t>
      </w:r>
      <w:bookmarkEnd w:id="65"/>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府性基金预算财政拨款收入支出决算表</w:t>
      </w:r>
    </w:p>
    <w:p>
      <w:pPr>
        <w:pStyle w:val="5"/>
        <w:rPr>
          <w:rFonts w:ascii="仿宋" w:hAnsi="仿宋" w:eastAsia="仿宋"/>
          <w:color w:val="auto"/>
          <w:highlight w:val="none"/>
        </w:rPr>
      </w:pPr>
      <w:bookmarkStart w:id="66" w:name="_Toc15396629"/>
      <w:r>
        <w:rPr>
          <w:rStyle w:val="22"/>
          <w:rFonts w:hint="eastAsia" w:ascii="仿宋" w:hAnsi="仿宋" w:eastAsia="仿宋"/>
          <w:b w:val="0"/>
          <w:bCs w:val="0"/>
          <w:color w:val="auto"/>
          <w:highlight w:val="none"/>
        </w:rPr>
        <w:t>十一、</w:t>
      </w:r>
      <w:bookmarkEnd w:id="66"/>
      <w:r>
        <w:rPr>
          <w:rFonts w:hint="eastAsia" w:ascii="仿宋" w:hAnsi="仿宋" w:eastAsia="仿宋"/>
          <w:b w:val="0"/>
          <w:color w:val="auto"/>
          <w:highlight w:val="none"/>
        </w:rPr>
        <w:t>国</w:t>
      </w:r>
      <w:r>
        <w:rPr>
          <w:rStyle w:val="22"/>
          <w:rFonts w:hint="eastAsia" w:ascii="仿宋" w:hAnsi="仿宋" w:eastAsia="仿宋"/>
          <w:b w:val="0"/>
          <w:bCs w:val="0"/>
          <w:color w:val="auto"/>
          <w:highlight w:val="none"/>
        </w:rPr>
        <w:t>有资本经营预算</w:t>
      </w:r>
      <w:r>
        <w:rPr>
          <w:rStyle w:val="22"/>
          <w:rFonts w:hint="eastAsia" w:ascii="仿宋" w:hAnsi="仿宋" w:eastAsia="仿宋"/>
          <w:b w:val="0"/>
          <w:bCs w:val="0"/>
          <w:color w:val="auto"/>
          <w:highlight w:val="none"/>
          <w:lang w:eastAsia="zh-CN"/>
        </w:rPr>
        <w:t>财政拨款收入</w:t>
      </w:r>
      <w:r>
        <w:rPr>
          <w:rStyle w:val="22"/>
          <w:rFonts w:hint="eastAsia" w:ascii="仿宋" w:hAnsi="仿宋" w:eastAsia="仿宋"/>
          <w:b w:val="0"/>
          <w:bCs w:val="0"/>
          <w:color w:val="auto"/>
          <w:highlight w:val="none"/>
        </w:rPr>
        <w:t>支出决算表</w:t>
      </w:r>
    </w:p>
    <w:p>
      <w:pPr>
        <w:pStyle w:val="5"/>
        <w:rPr>
          <w:rFonts w:ascii="仿宋" w:hAnsi="仿宋" w:eastAsia="仿宋"/>
          <w:color w:val="auto"/>
          <w:highlight w:val="none"/>
        </w:rPr>
      </w:pPr>
      <w:bookmarkStart w:id="67" w:name="_Toc15396630"/>
      <w:r>
        <w:rPr>
          <w:rStyle w:val="22"/>
          <w:rFonts w:hint="eastAsia" w:ascii="仿宋" w:hAnsi="仿宋" w:eastAsia="仿宋"/>
          <w:b w:val="0"/>
          <w:bCs w:val="0"/>
          <w:color w:val="auto"/>
          <w:highlight w:val="none"/>
        </w:rPr>
        <w:t>十二、</w:t>
      </w:r>
      <w:bookmarkEnd w:id="67"/>
      <w:r>
        <w:rPr>
          <w:rStyle w:val="22"/>
          <w:rFonts w:hint="eastAsia" w:ascii="仿宋" w:hAnsi="仿宋" w:eastAsia="仿宋"/>
          <w:b w:val="0"/>
          <w:bCs w:val="0"/>
          <w:color w:val="auto"/>
          <w:highlight w:val="none"/>
          <w:lang w:eastAsia="zh-CN"/>
        </w:rPr>
        <w:t>国有资本经营预算财政拨款支出决算表</w:t>
      </w:r>
    </w:p>
    <w:p>
      <w:pPr>
        <w:pStyle w:val="5"/>
        <w:rPr>
          <w:rFonts w:hint="eastAsia" w:eastAsia="仿宋"/>
          <w:color w:val="auto"/>
          <w:highlight w:val="none"/>
          <w:lang w:eastAsia="zh-CN"/>
        </w:rPr>
      </w:pPr>
      <w:bookmarkStart w:id="68" w:name="_Toc15396631"/>
      <w:r>
        <w:rPr>
          <w:rStyle w:val="22"/>
          <w:rFonts w:hint="eastAsia" w:ascii="仿宋" w:hAnsi="仿宋" w:eastAsia="仿宋"/>
          <w:b w:val="0"/>
          <w:bCs w:val="0"/>
          <w:color w:val="auto"/>
          <w:highlight w:val="none"/>
        </w:rPr>
        <w:t>十三、</w:t>
      </w:r>
      <w:bookmarkEnd w:id="68"/>
      <w:r>
        <w:rPr>
          <w:rStyle w:val="22"/>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850" w:right="1800" w:bottom="850" w:left="1800"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79F217E"/>
    <w:multiLevelType w:val="singleLevel"/>
    <w:tmpl w:val="079F217E"/>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pPr>
        <w:ind w:left="210"/>
      </w:pPr>
      <w:rPr>
        <w:rFonts w:hint="eastAsia"/>
      </w:rPr>
    </w:lvl>
  </w:abstractNum>
  <w:abstractNum w:abstractNumId="5">
    <w:nsid w:val="7EE9ADDA"/>
    <w:multiLevelType w:val="singleLevel"/>
    <w:tmpl w:val="7EE9ADDA"/>
    <w:lvl w:ilvl="0" w:tentative="0">
      <w:start w:val="1"/>
      <w:numFmt w:val="decimal"/>
      <w:suff w:val="nothing"/>
      <w:lvlText w:val="%1．"/>
      <w:lvlJc w:val="left"/>
      <w:pPr>
        <w:ind w:left="20" w:firstLine="400"/>
      </w:pPr>
      <w:rPr>
        <w:rFont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2JhZjhjOWYwNjRmYzliNTEwYzJlZjYyZjJiZG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81526"/>
    <w:rsid w:val="02BD389A"/>
    <w:rsid w:val="03112B18"/>
    <w:rsid w:val="053A62B5"/>
    <w:rsid w:val="05CC3EBD"/>
    <w:rsid w:val="074A65B9"/>
    <w:rsid w:val="0A2032A3"/>
    <w:rsid w:val="0B3C58AA"/>
    <w:rsid w:val="0B8A37D8"/>
    <w:rsid w:val="0C656338"/>
    <w:rsid w:val="0E903530"/>
    <w:rsid w:val="0EA3032B"/>
    <w:rsid w:val="0EDF5220"/>
    <w:rsid w:val="101B5045"/>
    <w:rsid w:val="107E1C03"/>
    <w:rsid w:val="10A828B6"/>
    <w:rsid w:val="10C055FF"/>
    <w:rsid w:val="1127588C"/>
    <w:rsid w:val="118107EC"/>
    <w:rsid w:val="11DD6519"/>
    <w:rsid w:val="13C33489"/>
    <w:rsid w:val="15552D52"/>
    <w:rsid w:val="15F52A45"/>
    <w:rsid w:val="16B75B22"/>
    <w:rsid w:val="16BB723D"/>
    <w:rsid w:val="17353A77"/>
    <w:rsid w:val="17FA257E"/>
    <w:rsid w:val="18015F3F"/>
    <w:rsid w:val="1AD4538B"/>
    <w:rsid w:val="1BE8440E"/>
    <w:rsid w:val="1D155CEE"/>
    <w:rsid w:val="20F57F95"/>
    <w:rsid w:val="221C081C"/>
    <w:rsid w:val="22504FC7"/>
    <w:rsid w:val="22FF7F67"/>
    <w:rsid w:val="240371BF"/>
    <w:rsid w:val="25711CC6"/>
    <w:rsid w:val="25C741E6"/>
    <w:rsid w:val="25D521DA"/>
    <w:rsid w:val="27842671"/>
    <w:rsid w:val="290C45B1"/>
    <w:rsid w:val="29100474"/>
    <w:rsid w:val="29FD04D3"/>
    <w:rsid w:val="2ABE7A3E"/>
    <w:rsid w:val="2B164FD3"/>
    <w:rsid w:val="2CA234A8"/>
    <w:rsid w:val="2EB70B76"/>
    <w:rsid w:val="2EE700FB"/>
    <w:rsid w:val="2EFA178C"/>
    <w:rsid w:val="2F7725AD"/>
    <w:rsid w:val="30625D65"/>
    <w:rsid w:val="30B46D73"/>
    <w:rsid w:val="31200CA6"/>
    <w:rsid w:val="319F7F4E"/>
    <w:rsid w:val="31BE3FD4"/>
    <w:rsid w:val="33163CFC"/>
    <w:rsid w:val="34746356"/>
    <w:rsid w:val="34C77A4B"/>
    <w:rsid w:val="34DF1873"/>
    <w:rsid w:val="37286D8F"/>
    <w:rsid w:val="383D272C"/>
    <w:rsid w:val="39AE70AB"/>
    <w:rsid w:val="3A104898"/>
    <w:rsid w:val="3A8208D7"/>
    <w:rsid w:val="3C0C0783"/>
    <w:rsid w:val="3F9F3A96"/>
    <w:rsid w:val="40BE4710"/>
    <w:rsid w:val="423366A1"/>
    <w:rsid w:val="48BF60AB"/>
    <w:rsid w:val="493C27E9"/>
    <w:rsid w:val="496F39ED"/>
    <w:rsid w:val="49FF41D3"/>
    <w:rsid w:val="4BA0670F"/>
    <w:rsid w:val="4BE068DB"/>
    <w:rsid w:val="4BF6002B"/>
    <w:rsid w:val="4D6232BB"/>
    <w:rsid w:val="4ECE2238"/>
    <w:rsid w:val="51DB4B86"/>
    <w:rsid w:val="55333C3E"/>
    <w:rsid w:val="56FD54F1"/>
    <w:rsid w:val="5787374D"/>
    <w:rsid w:val="5AF70979"/>
    <w:rsid w:val="5C8C2A1A"/>
    <w:rsid w:val="5CE52EEE"/>
    <w:rsid w:val="5ED03A93"/>
    <w:rsid w:val="6354042E"/>
    <w:rsid w:val="64CA39A1"/>
    <w:rsid w:val="664569B8"/>
    <w:rsid w:val="68734169"/>
    <w:rsid w:val="69630ADE"/>
    <w:rsid w:val="6C4A05C8"/>
    <w:rsid w:val="6CE3776D"/>
    <w:rsid w:val="6D3B1A89"/>
    <w:rsid w:val="6DA524C6"/>
    <w:rsid w:val="6EF3ED1E"/>
    <w:rsid w:val="6F0364AD"/>
    <w:rsid w:val="6FBA02AE"/>
    <w:rsid w:val="6FDC4566"/>
    <w:rsid w:val="70676D23"/>
    <w:rsid w:val="71852303"/>
    <w:rsid w:val="71BF4EC2"/>
    <w:rsid w:val="72734D90"/>
    <w:rsid w:val="7412278C"/>
    <w:rsid w:val="74BD1EF2"/>
    <w:rsid w:val="76F4F0B3"/>
    <w:rsid w:val="780229E0"/>
    <w:rsid w:val="79E7B28D"/>
    <w:rsid w:val="7BFE282B"/>
    <w:rsid w:val="7DC138A8"/>
    <w:rsid w:val="7F7C5F81"/>
    <w:rsid w:val="7F9F20EE"/>
    <w:rsid w:val="93F36A4F"/>
    <w:rsid w:val="9E3A10E2"/>
    <w:rsid w:val="ABFE2CA7"/>
    <w:rsid w:val="AFDF4F64"/>
    <w:rsid w:val="BAEF25B8"/>
    <w:rsid w:val="BF3FF357"/>
    <w:rsid w:val="BF6AAD28"/>
    <w:rsid w:val="EEBF484C"/>
    <w:rsid w:val="EFFF50E8"/>
    <w:rsid w:val="F2E1F9D4"/>
    <w:rsid w:val="F3EF6A5B"/>
    <w:rsid w:val="F6F97E63"/>
    <w:rsid w:val="F7880819"/>
    <w:rsid w:val="FFCF76F9"/>
    <w:rsid w:val="FFFB84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afterLines="0"/>
      <w:ind w:left="420" w:leftChars="200"/>
    </w:pPr>
  </w:style>
  <w:style w:type="paragraph" w:styleId="7">
    <w:name w:val="Body Text"/>
    <w:basedOn w:val="1"/>
    <w:next w:val="8"/>
    <w:link w:val="29"/>
    <w:qFormat/>
    <w:uiPriority w:val="99"/>
    <w:pPr>
      <w:spacing w:beforeLines="30"/>
    </w:pPr>
    <w:rPr>
      <w:rFonts w:ascii="仿宋_GB2312" w:eastAsia="仿宋_GB2312"/>
      <w:kern w:val="0"/>
      <w:sz w:val="30"/>
    </w:rPr>
  </w:style>
  <w:style w:type="paragraph" w:styleId="8">
    <w:name w:val="Plain Text"/>
    <w:basedOn w:val="1"/>
    <w:qFormat/>
    <w:uiPriority w:val="0"/>
    <w:rPr>
      <w:rFonts w:ascii="宋体" w:hAnsi="Courier New" w:eastAsia="仿宋"/>
      <w:kern w:val="0"/>
      <w:sz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4"/>
    <w:qFormat/>
    <w:uiPriority w:val="9"/>
    <w:rPr>
      <w:rFonts w:ascii="Times New Roman" w:hAnsi="Times New Roman"/>
      <w:b/>
      <w:bCs/>
      <w:kern w:val="44"/>
      <w:sz w:val="44"/>
      <w:szCs w:val="44"/>
    </w:rPr>
  </w:style>
  <w:style w:type="character" w:customStyle="1" w:styleId="22">
    <w:name w:val="标题 2 Char"/>
    <w:basedOn w:val="18"/>
    <w:link w:val="5"/>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6"/>
    <w:qFormat/>
    <w:uiPriority w:val="9"/>
    <w:rPr>
      <w:rFonts w:ascii="Times New Roman" w:hAnsi="Times New Roman"/>
      <w:b/>
      <w:bCs/>
      <w:kern w:val="2"/>
      <w:sz w:val="32"/>
      <w:szCs w:val="32"/>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p0"/>
    <w:basedOn w:val="1"/>
    <w:qFormat/>
    <w:uiPriority w:val="99"/>
    <w:pPr>
      <w:widowControl/>
    </w:pPr>
    <w:rPr>
      <w:kern w:val="0"/>
      <w:szCs w:val="21"/>
    </w:rPr>
  </w:style>
  <w:style w:type="paragraph" w:customStyle="1" w:styleId="36">
    <w:name w:val="正文首行缩进 21"/>
    <w:basedOn w:val="1"/>
    <w:next w:val="1"/>
    <w:qFormat/>
    <w:uiPriority w:val="0"/>
    <w:pPr>
      <w:spacing w:line="600" w:lineRule="atLeast"/>
      <w:ind w:firstLine="420" w:firstLineChars="200"/>
    </w:pPr>
    <w:rPr>
      <w:rFonts w:eastAsia="宋体"/>
      <w:b/>
      <w:bCs/>
      <w:sz w:val="30"/>
      <w:szCs w:val="30"/>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rPr>
  </w:style>
  <w:style w:type="paragraph" w:customStyle="1" w:styleId="3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收支决算总计（万元）</a:t>
            </a:r>
          </a:p>
        </c:rich>
      </c:tx>
      <c:layout/>
      <c:overlay val="0"/>
      <c:spPr>
        <a:noFill/>
        <a:ln>
          <a:noFill/>
        </a:ln>
        <a:effectLst/>
      </c:spPr>
    </c:title>
    <c:autoTitleDeleted val="0"/>
    <c:plotArea>
      <c:layout>
        <c:manualLayout>
          <c:layoutTarget val="inner"/>
          <c:xMode val="edge"/>
          <c:yMode val="edge"/>
          <c:x val="0.07495"/>
          <c:y val="0.1345"/>
          <c:w val="0.8938"/>
          <c:h val="0.7924"/>
        </c:manualLayout>
      </c:layout>
      <c:barChart>
        <c:barDir val="col"/>
        <c:grouping val="cluster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0"/>
                  <c:y val="-0.0025"/>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1081.9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1040.18</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2023年收入支出决算总计</c:v>
                </c:pt>
                <c:pt idx="1">
                  <c:v>2024年收入支出决算总计</c:v>
                </c:pt>
              </c:strCache>
            </c:strRef>
          </c:cat>
          <c:val>
            <c:numRef>
              <c:f>Sheet1!$B$2:$B$3</c:f>
              <c:numCache>
                <c:formatCode>General</c:formatCode>
                <c:ptCount val="2"/>
                <c:pt idx="0">
                  <c:v>1081.9</c:v>
                </c:pt>
                <c:pt idx="1">
                  <c:v>1040.18</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2023年收入支出决算总计</c:v>
                </c:pt>
                <c:pt idx="1">
                  <c:v>2024年收入支出决算总计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2023年收入支出决算总计</c:v>
                </c:pt>
                <c:pt idx="1">
                  <c:v>2024年收入支出决算总计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159512124"/>
        <c:axId val="456226928"/>
      </c:barChart>
      <c:catAx>
        <c:axId val="15951212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56226928"/>
        <c:crosses val="autoZero"/>
        <c:auto val="1"/>
        <c:lblAlgn val="ctr"/>
        <c:lblOffset val="100"/>
        <c:noMultiLvlLbl val="0"/>
      </c:catAx>
      <c:valAx>
        <c:axId val="456226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95121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年本年收入</a:t>
            </a:r>
            <a:r>
              <a:rPr lang="en-US" altLang="zh-CN"/>
              <a:t>(</a:t>
            </a:r>
            <a:r>
              <a:rPr altLang="zh-CN"/>
              <a:t>万元</a:t>
            </a:r>
            <a:r>
              <a:rPr lang="en-US" altLang="zh-CN"/>
              <a:t>)</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931.06</c:v>
                </c:pt>
                <c:pt idx="1">
                  <c:v>109.12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年本年支出</a:t>
            </a:r>
            <a:r>
              <a:rPr lang="en-US" altLang="zh-CN"/>
              <a:t>(</a:t>
            </a:r>
            <a:r>
              <a:rPr altLang="zh-CN"/>
              <a:t>万元</a:t>
            </a:r>
            <a:r>
              <a:rPr lang="en-US" altLang="zh-CN"/>
              <a:t>)</a:t>
            </a:r>
            <a:endParaRPr lang="en-US" altLang="zh-CN"/>
          </a:p>
        </c:rich>
      </c:tx>
      <c:layout>
        <c:manualLayout>
          <c:xMode val="edge"/>
          <c:yMode val="edge"/>
          <c:x val="0.276886035313002"/>
          <c:y val="0.016468005018820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416.11</c:v>
                </c:pt>
                <c:pt idx="1">
                  <c:v>624.07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财政拨款收支决算总计（万元）</a:t>
            </a:r>
          </a:p>
        </c:rich>
      </c:tx>
      <c:layout/>
      <c:overlay val="0"/>
      <c:spPr>
        <a:noFill/>
        <a:ln>
          <a:noFill/>
        </a:ln>
        <a:effectLst/>
      </c:spPr>
    </c:title>
    <c:autoTitleDeleted val="0"/>
    <c:plotArea>
      <c:layout>
        <c:manualLayout>
          <c:layoutTarget val="inner"/>
          <c:xMode val="edge"/>
          <c:yMode val="edge"/>
          <c:x val="0.07495"/>
          <c:y val="0.138331870708424"/>
          <c:w val="0.8938"/>
          <c:h val="0.7924"/>
        </c:manualLayout>
      </c:layout>
      <c:barChart>
        <c:barDir val="col"/>
        <c:grouping val="cluster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t>1</a:t>
                    </a:r>
                    <a:r>
                      <a:rPr lang="en-US" altLang="zh-CN"/>
                      <a:t>081.9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t>1</a:t>
                    </a:r>
                    <a:r>
                      <a:rPr lang="en-US" altLang="zh-CN"/>
                      <a:t>040.18</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2023年收入支出决算总计</c:v>
                </c:pt>
                <c:pt idx="1">
                  <c:v>2024年收入支出决算总计</c:v>
                </c:pt>
              </c:strCache>
            </c:strRef>
          </c:cat>
          <c:val>
            <c:numRef>
              <c:f>Sheet1!$B$2:$B$3</c:f>
              <c:numCache>
                <c:formatCode>General</c:formatCode>
                <c:ptCount val="2"/>
                <c:pt idx="0">
                  <c:v>1081.9</c:v>
                </c:pt>
                <c:pt idx="1">
                  <c:v>1040.18</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2023年收入支出决算总计</c:v>
                </c:pt>
                <c:pt idx="1">
                  <c:v>2024年收入支出决算总计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2023年收入支出决算总计</c:v>
                </c:pt>
                <c:pt idx="1">
                  <c:v>2024年收入支出决算总计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159512124"/>
        <c:axId val="456226928"/>
      </c:barChart>
      <c:catAx>
        <c:axId val="15951212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56226928"/>
        <c:crosses val="autoZero"/>
        <c:auto val="1"/>
        <c:lblAlgn val="ctr"/>
        <c:lblOffset val="100"/>
        <c:noMultiLvlLbl val="0"/>
      </c:catAx>
      <c:valAx>
        <c:axId val="456226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95121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一般公共预算财政拨款支出决算总计（万元）</a:t>
            </a:r>
          </a:p>
        </c:rich>
      </c:tx>
      <c:layout/>
      <c:overlay val="0"/>
      <c:spPr>
        <a:noFill/>
        <a:ln>
          <a:noFill/>
        </a:ln>
        <a:effectLst/>
      </c:spPr>
    </c:title>
    <c:autoTitleDeleted val="0"/>
    <c:plotArea>
      <c:layout>
        <c:manualLayout>
          <c:layoutTarget val="inner"/>
          <c:xMode val="edge"/>
          <c:yMode val="edge"/>
          <c:x val="0.0555749999999999"/>
          <c:y val="0.0931133143527047"/>
          <c:w val="0.8938"/>
          <c:h val="0.7924"/>
        </c:manualLayout>
      </c:layout>
      <c:barChart>
        <c:barDir val="col"/>
        <c:grouping val="cluster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2023年支出决算总计</c:v>
                </c:pt>
                <c:pt idx="1">
                  <c:v>2024年支出决算总计</c:v>
                </c:pt>
              </c:strCache>
            </c:strRef>
          </c:cat>
          <c:val>
            <c:numRef>
              <c:f>Sheet1!$B$2:$B$3</c:f>
              <c:numCache>
                <c:formatCode>General</c:formatCode>
                <c:ptCount val="2"/>
                <c:pt idx="0">
                  <c:v>1060.9</c:v>
                </c:pt>
                <c:pt idx="1">
                  <c:v>931.06</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2023年支出决算总计</c:v>
                </c:pt>
                <c:pt idx="1">
                  <c:v>2024年支出决算总计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2023年支出决算总计</c:v>
                </c:pt>
                <c:pt idx="1">
                  <c:v>2024年支出决算总计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159512124"/>
        <c:axId val="456226928"/>
      </c:barChart>
      <c:catAx>
        <c:axId val="15951212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56226928"/>
        <c:crosses val="autoZero"/>
        <c:auto val="1"/>
        <c:lblAlgn val="ctr"/>
        <c:lblOffset val="100"/>
        <c:noMultiLvlLbl val="0"/>
      </c:catAx>
      <c:valAx>
        <c:axId val="456226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95121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manualLayout>
          <c:xMode val="edge"/>
          <c:yMode val="edge"/>
          <c:x val="0.29483492733125"/>
          <c:y val="0.0147021468684488"/>
        </c:manualLayout>
      </c:layout>
      <c:overlay val="0"/>
      <c:spPr>
        <a:noFill/>
        <a:ln>
          <a:noFill/>
        </a:ln>
        <a:effectLst/>
      </c:spPr>
    </c:title>
    <c:autoTitleDeleted val="0"/>
    <c:plotArea>
      <c:layout>
        <c:manualLayout>
          <c:layoutTarget val="inner"/>
          <c:xMode val="edge"/>
          <c:yMode val="edge"/>
          <c:x val="0.290975323149236"/>
          <c:y val="0.158169386169386"/>
          <c:w val="0.418049353701528"/>
          <c:h val="0.608136752136752"/>
        </c:manualLayout>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1"/>
              <c:layout>
                <c:manualLayout>
                  <c:x val="0.0129842774438645"/>
                  <c:y val="0.01732885125151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06145677211758"/>
                  <c:y val="0.002160512099340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68083679737389"/>
                  <c:y val="-0.02966775474202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48299435725757"/>
                  <c:y val="-0.009448067523669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209447854476183"/>
                  <c:y val="-0.01132632698355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216819989822631"/>
                  <c:y val="-0.02465588673060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824120155364811"/>
                  <c:y val="0.003321029764239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一般公共服务支出</c:v>
                </c:pt>
                <c:pt idx="1">
                  <c:v>公共安全支出</c:v>
                </c:pt>
                <c:pt idx="2">
                  <c:v>社会保障和就业支出</c:v>
                </c:pt>
                <c:pt idx="3">
                  <c:v>卫生健康支出</c:v>
                </c:pt>
                <c:pt idx="4">
                  <c:v>城乡社区支出</c:v>
                </c:pt>
                <c:pt idx="5">
                  <c:v>农林水支出</c:v>
                </c:pt>
                <c:pt idx="6">
                  <c:v>资源勘探工业信息等支出</c:v>
                </c:pt>
                <c:pt idx="7">
                  <c:v>国防支出</c:v>
                </c:pt>
                <c:pt idx="8">
                  <c:v>住房保障支出</c:v>
                </c:pt>
                <c:pt idx="9">
                  <c:v>灾害防治及应急管理支出</c:v>
                </c:pt>
              </c:strCache>
            </c:strRef>
          </c:cat>
          <c:val>
            <c:numRef>
              <c:f>Sheet1!$B$2:$B$11</c:f>
              <c:numCache>
                <c:formatCode>0.00%</c:formatCode>
                <c:ptCount val="10"/>
                <c:pt idx="0">
                  <c:v>0.6093</c:v>
                </c:pt>
                <c:pt idx="1">
                  <c:v>0.0064</c:v>
                </c:pt>
                <c:pt idx="2">
                  <c:v>0.0629</c:v>
                </c:pt>
                <c:pt idx="3">
                  <c:v>0.0159</c:v>
                </c:pt>
                <c:pt idx="4">
                  <c:v>0.0322</c:v>
                </c:pt>
                <c:pt idx="5">
                  <c:v>0.1842</c:v>
                </c:pt>
                <c:pt idx="6">
                  <c:v>0.0537</c:v>
                </c:pt>
                <c:pt idx="7">
                  <c:v>0.0011</c:v>
                </c:pt>
                <c:pt idx="8">
                  <c:v>0.0321</c:v>
                </c:pt>
                <c:pt idx="9">
                  <c:v>0.0021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年本年收入</a:t>
            </a:r>
            <a:r>
              <a:rPr lang="en-US" altLang="zh-CN"/>
              <a:t>(</a:t>
            </a:r>
            <a:r>
              <a:rPr altLang="zh-CN"/>
              <a:t>万元</a:t>
            </a:r>
            <a:r>
              <a:rPr lang="en-US" altLang="zh-CN"/>
              <a:t>)</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82</Pages>
  <Words>31383</Words>
  <Characters>36087</Characters>
  <Lines>61</Lines>
  <Paragraphs>17</Paragraphs>
  <TotalTime>895</TotalTime>
  <ScaleCrop>false</ScaleCrop>
  <LinksUpToDate>false</LinksUpToDate>
  <CharactersWithSpaces>36211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Administrator</cp:lastModifiedBy>
  <cp:lastPrinted>2023-08-01T10:35:00Z</cp:lastPrinted>
  <dcterms:modified xsi:type="dcterms:W3CDTF">2025-10-09T07:38:06Z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76BCF26889EA45E7B705D6DC0084B48B</vt:lpwstr>
  </property>
  <property fmtid="{D5CDD505-2E9C-101B-9397-08002B2CF9AE}" pid="4" name="KSOTemplateDocerSaveRecord">
    <vt:lpwstr>eyJoZGlkIjoiYWJmNTAxYTA0NTllZTU0OWY5NWY0MWNlMzBjNGU2OTYiLCJ1c2VySWQiOiIyNDU4NTY5MiJ9</vt:lpwstr>
  </property>
</Properties>
</file>