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微软雅黑" w:hAnsi="宋体" w:eastAsia="微软雅黑"/>
          <w:color w:val="auto"/>
          <w:sz w:val="72"/>
          <w:szCs w:val="72"/>
          <w:highlight w:val="none"/>
        </w:rPr>
      </w:pPr>
      <w:bookmarkStart w:id="0" w:name="_Toc15306267"/>
    </w:p>
    <w:p>
      <w:pPr>
        <w:spacing w:line="600" w:lineRule="exact"/>
        <w:jc w:val="center"/>
        <w:outlineLvl w:val="9"/>
        <w:rPr>
          <w:rFonts w:ascii="微软雅黑" w:hAnsi="宋体" w:eastAsia="微软雅黑"/>
          <w:color w:val="auto"/>
          <w:sz w:val="72"/>
          <w:szCs w:val="72"/>
          <w:highlight w:val="none"/>
        </w:rPr>
      </w:pPr>
    </w:p>
    <w:p>
      <w:pPr>
        <w:spacing w:line="600" w:lineRule="exact"/>
        <w:jc w:val="center"/>
        <w:outlineLvl w:val="9"/>
        <w:rPr>
          <w:rFonts w:ascii="微软雅黑" w:hAnsi="宋体" w:eastAsia="微软雅黑"/>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bookmarkStart w:id="1" w:name="_Toc4270"/>
      <w:bookmarkStart w:id="2" w:name="_Toc15377425"/>
      <w:bookmarkStart w:id="3" w:name="_Toc15378441"/>
      <w:bookmarkStart w:id="4" w:name="_Toc15396475"/>
      <w:bookmarkStart w:id="5" w:name="_Toc15377193"/>
      <w:bookmarkStart w:id="6" w:name="_Toc15396597"/>
      <w:r>
        <w:rPr>
          <w:rFonts w:hint="eastAsia" w:ascii="方正小标宋简体" w:hAnsi="方正小标宋简体" w:eastAsia="方正小标宋简体" w:cs="方正小标宋简体"/>
          <w:sz w:val="72"/>
          <w:szCs w:val="72"/>
          <w:lang w:val="en-US" w:eastAsia="zh-CN"/>
        </w:rPr>
        <w:t>2023年度</w:t>
      </w:r>
      <w:bookmarkEnd w:id="0"/>
      <w:bookmarkEnd w:id="1"/>
      <w:bookmarkEnd w:id="2"/>
      <w:bookmarkEnd w:id="3"/>
      <w:bookmarkEnd w:id="4"/>
      <w:bookmarkEnd w:id="5"/>
      <w:bookmarkEnd w:id="6"/>
      <w:bookmarkStart w:id="7" w:name="_Toc22729"/>
      <w:bookmarkStart w:id="8" w:name="_Toc15396476"/>
      <w:bookmarkStart w:id="9" w:name="_Toc15377426"/>
      <w:bookmarkStart w:id="10" w:name="_Toc15396598"/>
      <w:bookmarkStart w:id="11" w:name="_Toc15306268"/>
      <w:bookmarkStart w:id="12" w:name="_Toc15377194"/>
      <w:bookmarkStart w:id="13" w:name="_Toc15378442"/>
      <w:r>
        <w:rPr>
          <w:rFonts w:hint="eastAsia" w:ascii="方正小标宋简体" w:hAnsi="方正小标宋简体" w:eastAsia="方正小标宋简体" w:cs="方正小标宋简体"/>
          <w:sz w:val="72"/>
          <w:szCs w:val="72"/>
          <w:lang w:val="en-US" w:eastAsia="zh-CN"/>
        </w:rPr>
        <w:t>广元经济技术开发区</w:t>
      </w: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下西坝办事处</w:t>
      </w:r>
      <w:bookmarkEnd w:id="7"/>
      <w:bookmarkStart w:id="14" w:name="_Toc27392"/>
      <w:r>
        <w:rPr>
          <w:rFonts w:hint="eastAsia" w:ascii="方正小标宋简体" w:hAnsi="方正小标宋简体" w:eastAsia="方正小标宋简体" w:cs="方正小标宋简体"/>
          <w:sz w:val="72"/>
          <w:szCs w:val="72"/>
          <w:lang w:val="en-US" w:eastAsia="zh-CN"/>
        </w:rPr>
        <w:t>部门决算</w:t>
      </w:r>
      <w:bookmarkEnd w:id="8"/>
      <w:bookmarkEnd w:id="9"/>
      <w:bookmarkEnd w:id="10"/>
      <w:bookmarkEnd w:id="11"/>
      <w:bookmarkEnd w:id="12"/>
      <w:bookmarkEnd w:id="13"/>
      <w:bookmarkEnd w:id="14"/>
    </w:p>
    <w:p>
      <w:pPr>
        <w:jc w:val="center"/>
        <w:rPr>
          <w:rFonts w:hint="eastAsia" w:ascii="黑体" w:hAnsi="黑体" w:eastAsia="黑体"/>
          <w:color w:val="auto"/>
          <w:sz w:val="48"/>
          <w:szCs w:val="48"/>
          <w:highlight w:val="none"/>
        </w:rPr>
      </w:pPr>
      <w:r>
        <w:rPr>
          <w:rFonts w:ascii="微软雅黑" w:hAnsi="宋体" w:eastAsia="微软雅黑"/>
          <w:color w:val="auto"/>
          <w:sz w:val="36"/>
          <w:szCs w:val="36"/>
          <w:highlight w:val="none"/>
        </w:rPr>
        <w:br w:type="page"/>
      </w:r>
      <w:r>
        <w:rPr>
          <w:rFonts w:hint="eastAsia" w:ascii="黑体" w:hAnsi="黑体" w:eastAsia="黑体"/>
          <w:color w:val="auto"/>
          <w:sz w:val="48"/>
          <w:szCs w:val="48"/>
          <w:highlight w:val="none"/>
        </w:rPr>
        <w:t>目录</w:t>
      </w:r>
    </w:p>
    <w:p>
      <w:pPr>
        <w:pStyle w:val="12"/>
        <w:rPr>
          <w:rFonts w:ascii="仿宋" w:hAnsi="仿宋" w:eastAsia="仿宋"/>
          <w:color w:val="auto"/>
          <w:sz w:val="24"/>
          <w:highlight w:val="none"/>
        </w:rPr>
      </w:pPr>
      <w:r>
        <w:rPr>
          <w:rFonts w:hint="eastAsia" w:ascii="黑体" w:hAnsi="黑体" w:eastAsia="黑体"/>
          <w:color w:val="auto"/>
          <w:sz w:val="32"/>
          <w:szCs w:val="32"/>
          <w:highlight w:val="none"/>
          <w:lang w:val="en-US" w:eastAsia="zh-CN"/>
        </w:rPr>
        <w:t>公开时间：2024年10月2日</w:t>
      </w:r>
    </w:p>
    <w:sdt>
      <w:sdtPr>
        <w:rPr>
          <w:rFonts w:ascii="宋体" w:hAnsi="宋体" w:eastAsia="宋体" w:cs="Times New Roman"/>
          <w:color w:val="auto"/>
          <w:kern w:val="2"/>
          <w:sz w:val="21"/>
          <w:szCs w:val="24"/>
          <w:highlight w:val="none"/>
          <w:lang w:val="en-US" w:eastAsia="zh-CN" w:bidi="ar-SA"/>
        </w:rPr>
        <w:id w:val="147469558"/>
        <w15:color w:val="DBDBDB"/>
        <w:docPartObj>
          <w:docPartGallery w:val="Table of Contents"/>
          <w:docPartUnique/>
        </w:docPartObj>
      </w:sdtPr>
      <w:sdtEndPr>
        <w:rPr>
          <w:rFonts w:ascii="宋体" w:hAnsi="宋体"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color w:val="auto"/>
              <w:highlight w:val="none"/>
            </w:rPr>
          </w:pPr>
          <w:bookmarkStart w:id="110" w:name="_GoBack"/>
          <w:bookmarkEnd w:id="110"/>
          <w:bookmarkStart w:id="15" w:name="_Toc15396599"/>
          <w:bookmarkStart w:id="16" w:name="_Toc15377196"/>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46"/>
            <w:tabs>
              <w:tab w:val="right" w:leader="dot" w:pos="10171"/>
            </w:tabs>
            <w:rPr>
              <w:b/>
              <w:color w:val="auto"/>
              <w:highlight w:val="none"/>
            </w:rPr>
          </w:pPr>
          <w:r>
            <w:rPr>
              <w:b/>
              <w:color w:val="auto"/>
              <w:highlight w:val="none"/>
            </w:rPr>
            <w:fldChar w:fldCharType="begin"/>
          </w:r>
          <w:r>
            <w:rPr>
              <w:b/>
              <w:color w:val="auto"/>
              <w:highlight w:val="none"/>
            </w:rPr>
            <w:instrText xml:space="preserve"> HYPERLINK \l _Toc14838 </w:instrText>
          </w:r>
          <w:r>
            <w:rPr>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_Toc14838 \h </w:instrText>
          </w:r>
          <w:r>
            <w:rPr>
              <w:b/>
              <w:color w:val="auto"/>
              <w:highlight w:val="none"/>
            </w:rPr>
            <w:fldChar w:fldCharType="separate"/>
          </w:r>
          <w:r>
            <w:rPr>
              <w:b/>
              <w:color w:val="auto"/>
              <w:highlight w:val="none"/>
            </w:rPr>
            <w:t>3</w:t>
          </w:r>
          <w:r>
            <w:rPr>
              <w:b/>
              <w:color w:val="auto"/>
              <w:highlight w:val="none"/>
            </w:rPr>
            <w:fldChar w:fldCharType="end"/>
          </w:r>
          <w:r>
            <w:rPr>
              <w:b/>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_Toc32266 </w:instrText>
          </w:r>
          <w:r>
            <w:rPr>
              <w:color w:val="auto"/>
              <w:highlight w:val="none"/>
            </w:rPr>
            <w:fldChar w:fldCharType="separate"/>
          </w:r>
          <w:r>
            <w:rPr>
              <w:rFonts w:hint="eastAsia" w:ascii="黑体" w:hAnsi="黑体" w:eastAsia="黑体"/>
              <w:color w:val="auto"/>
              <w:highlight w:val="none"/>
            </w:rPr>
            <w:t>一、基</w:t>
          </w:r>
          <w:r>
            <w:rPr>
              <w:rFonts w:hint="eastAsia" w:ascii="黑体" w:hAnsi="黑体" w:eastAsia="黑体"/>
              <w:bCs w:val="0"/>
              <w:color w:val="auto"/>
              <w:highlight w:val="none"/>
            </w:rPr>
            <w:t>本职能</w:t>
          </w:r>
          <w:r>
            <w:rPr>
              <w:color w:val="auto"/>
              <w:highlight w:val="none"/>
            </w:rPr>
            <w:tab/>
          </w:r>
          <w:r>
            <w:rPr>
              <w:color w:val="auto"/>
              <w:highlight w:val="none"/>
            </w:rPr>
            <w:fldChar w:fldCharType="begin"/>
          </w:r>
          <w:r>
            <w:rPr>
              <w:color w:val="auto"/>
              <w:highlight w:val="none"/>
            </w:rPr>
            <w:instrText xml:space="preserve"> PAGEREF _Toc32266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_Toc14675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46"/>
            <w:tabs>
              <w:tab w:val="right" w:leader="dot" w:pos="10171"/>
            </w:tabs>
            <w:rPr>
              <w:b/>
              <w:color w:val="auto"/>
              <w:highlight w:val="none"/>
            </w:rPr>
          </w:pPr>
          <w:r>
            <w:rPr>
              <w:b/>
              <w:color w:val="auto"/>
              <w:highlight w:val="none"/>
            </w:rPr>
            <w:fldChar w:fldCharType="begin"/>
          </w:r>
          <w:r>
            <w:rPr>
              <w:b/>
              <w:color w:val="auto"/>
              <w:highlight w:val="none"/>
            </w:rPr>
            <w:instrText xml:space="preserve"> HYPERLINK \l _Toc14940 </w:instrText>
          </w:r>
          <w:r>
            <w:rPr>
              <w:b/>
              <w:color w:val="auto"/>
              <w:highlight w:val="none"/>
            </w:rPr>
            <w:fldChar w:fldCharType="separate"/>
          </w:r>
          <w:r>
            <w:rPr>
              <w:rFonts w:hint="eastAsia" w:ascii="黑体" w:hAnsi="黑体" w:eastAsia="黑体"/>
              <w:b/>
              <w:color w:val="auto"/>
              <w:highlight w:val="none"/>
            </w:rPr>
            <w:t>第二部分</w:t>
          </w:r>
          <w:r>
            <w:rPr>
              <w:rFonts w:hint="eastAsia" w:ascii="黑体" w:hAnsi="黑体" w:eastAsia="黑体"/>
              <w:b/>
              <w:bCs w:val="0"/>
              <w:color w:val="auto"/>
              <w:highlight w:val="none"/>
            </w:rPr>
            <w:t>202</w:t>
          </w:r>
          <w:r>
            <w:rPr>
              <w:rFonts w:hint="eastAsia" w:ascii="黑体" w:hAnsi="黑体" w:eastAsia="黑体"/>
              <w:b/>
              <w:bCs w:val="0"/>
              <w:color w:val="auto"/>
              <w:highlight w:val="none"/>
              <w:lang w:val="en-US" w:eastAsia="zh-CN"/>
            </w:rPr>
            <w:t>3</w:t>
          </w:r>
          <w:r>
            <w:rPr>
              <w:rFonts w:hint="eastAsia" w:ascii="黑体" w:hAnsi="黑体" w:eastAsia="黑体"/>
              <w:b/>
              <w:bCs w:val="0"/>
              <w:color w:val="auto"/>
              <w:highlight w:val="none"/>
            </w:rPr>
            <w:t>年度部门决算情况说明</w:t>
          </w:r>
          <w:r>
            <w:rPr>
              <w:b/>
              <w:color w:val="auto"/>
              <w:highlight w:val="none"/>
            </w:rPr>
            <w:tab/>
          </w:r>
          <w:r>
            <w:rPr>
              <w:b/>
              <w:color w:val="auto"/>
              <w:highlight w:val="none"/>
            </w:rPr>
            <w:fldChar w:fldCharType="begin"/>
          </w:r>
          <w:r>
            <w:rPr>
              <w:b/>
              <w:color w:val="auto"/>
              <w:highlight w:val="none"/>
            </w:rPr>
            <w:instrText xml:space="preserve"> PAGEREF _Toc14940 \h </w:instrText>
          </w:r>
          <w:r>
            <w:rPr>
              <w:b/>
              <w:color w:val="auto"/>
              <w:highlight w:val="none"/>
            </w:rPr>
            <w:fldChar w:fldCharType="separate"/>
          </w:r>
          <w:r>
            <w:rPr>
              <w:b/>
              <w:color w:val="auto"/>
              <w:highlight w:val="none"/>
            </w:rPr>
            <w:t>3</w:t>
          </w:r>
          <w:r>
            <w:rPr>
              <w:b/>
              <w:color w:val="auto"/>
              <w:highlight w:val="none"/>
            </w:rPr>
            <w:fldChar w:fldCharType="end"/>
          </w:r>
          <w:r>
            <w:rPr>
              <w:b/>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_Toc577 </w:instrText>
          </w:r>
          <w:r>
            <w:rPr>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_Toc577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_Toc24195 </w:instrText>
          </w:r>
          <w:r>
            <w:rPr>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_Toc24195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_Toc18825 </w:instrText>
          </w:r>
          <w:r>
            <w:rPr>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_Toc18825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_Toc24633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_Toc24633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_Toc2657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_Toc2657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_Toc15163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_Toc15163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_Toc12981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“三公”经费财政拨款支出决算情况说明</w:t>
          </w:r>
          <w:r>
            <w:rPr>
              <w:color w:val="auto"/>
              <w:highlight w:val="none"/>
            </w:rPr>
            <w:tab/>
          </w:r>
          <w:r>
            <w:rPr>
              <w:color w:val="auto"/>
              <w:highlight w:val="none"/>
            </w:rPr>
            <w:fldChar w:fldCharType="begin"/>
          </w:r>
          <w:r>
            <w:rPr>
              <w:color w:val="auto"/>
              <w:highlight w:val="none"/>
            </w:rPr>
            <w:instrText xml:space="preserve"> PAGEREF _Toc12981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_Toc6264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_Toc6264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_Toc29129 </w:instrText>
          </w:r>
          <w:r>
            <w:rPr>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_Toc29129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_Toc14455 </w:instrText>
          </w:r>
          <w:r>
            <w:rPr>
              <w:color w:val="auto"/>
              <w:highlight w:val="none"/>
            </w:rPr>
            <w:fldChar w:fldCharType="separate"/>
          </w:r>
          <w:r>
            <w:rPr>
              <w:rFonts w:hint="eastAsia" w:ascii="黑体" w:hAnsi="黑体" w:eastAsia="黑体"/>
              <w:color w:val="auto"/>
              <w:szCs w:val="32"/>
              <w:highlight w:val="none"/>
            </w:rPr>
            <w:t>十</w:t>
          </w:r>
          <w:r>
            <w:rPr>
              <w:rFonts w:hint="eastAsia" w:ascii="黑体" w:hAnsi="黑体" w:eastAsia="黑体"/>
              <w:color w:val="auto"/>
              <w:highlight w:val="none"/>
            </w:rPr>
            <w:t>、其他重要事项的情况说明</w:t>
          </w:r>
          <w:r>
            <w:rPr>
              <w:color w:val="auto"/>
              <w:highlight w:val="none"/>
            </w:rPr>
            <w:tab/>
          </w:r>
          <w:r>
            <w:rPr>
              <w:color w:val="auto"/>
              <w:highlight w:val="none"/>
            </w:rPr>
            <w:fldChar w:fldCharType="begin"/>
          </w:r>
          <w:r>
            <w:rPr>
              <w:color w:val="auto"/>
              <w:highlight w:val="none"/>
            </w:rPr>
            <w:instrText xml:space="preserve"> PAGEREF _Toc14455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46"/>
            <w:tabs>
              <w:tab w:val="right" w:leader="dot" w:pos="10171"/>
            </w:tabs>
            <w:rPr>
              <w:b/>
              <w:color w:val="auto"/>
              <w:highlight w:val="none"/>
            </w:rPr>
          </w:pPr>
          <w:r>
            <w:rPr>
              <w:b/>
              <w:color w:val="auto"/>
              <w:highlight w:val="none"/>
            </w:rPr>
            <w:fldChar w:fldCharType="begin"/>
          </w:r>
          <w:r>
            <w:rPr>
              <w:b/>
              <w:color w:val="auto"/>
              <w:highlight w:val="none"/>
            </w:rPr>
            <w:instrText xml:space="preserve"> HYPERLINK \l _Toc21815 </w:instrText>
          </w:r>
          <w:r>
            <w:rPr>
              <w:b/>
              <w:color w:val="auto"/>
              <w:highlight w:val="none"/>
            </w:rPr>
            <w:fldChar w:fldCharType="separate"/>
          </w:r>
          <w:r>
            <w:rPr>
              <w:rFonts w:hint="eastAsia" w:ascii="黑体" w:hAnsi="黑体" w:eastAsia="黑体"/>
              <w:b/>
              <w:color w:val="auto"/>
              <w:highlight w:val="none"/>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_Toc21815 \h </w:instrText>
          </w:r>
          <w:r>
            <w:rPr>
              <w:b/>
              <w:color w:val="auto"/>
              <w:highlight w:val="none"/>
            </w:rPr>
            <w:fldChar w:fldCharType="separate"/>
          </w:r>
          <w:r>
            <w:rPr>
              <w:b/>
              <w:color w:val="auto"/>
              <w:highlight w:val="none"/>
            </w:rPr>
            <w:t>12</w:t>
          </w:r>
          <w:r>
            <w:rPr>
              <w:b/>
              <w:color w:val="auto"/>
              <w:highlight w:val="none"/>
            </w:rPr>
            <w:fldChar w:fldCharType="end"/>
          </w:r>
          <w:r>
            <w:rPr>
              <w:b/>
              <w:color w:val="auto"/>
              <w:highlight w:val="none"/>
            </w:rPr>
            <w:fldChar w:fldCharType="end"/>
          </w:r>
        </w:p>
        <w:p>
          <w:pPr>
            <w:pStyle w:val="46"/>
            <w:tabs>
              <w:tab w:val="right" w:leader="dot" w:pos="10171"/>
            </w:tabs>
            <w:rPr>
              <w:b/>
              <w:color w:val="auto"/>
              <w:highlight w:val="none"/>
            </w:rPr>
          </w:pPr>
          <w:r>
            <w:rPr>
              <w:b/>
              <w:color w:val="auto"/>
              <w:highlight w:val="none"/>
            </w:rPr>
            <w:fldChar w:fldCharType="begin"/>
          </w:r>
          <w:r>
            <w:rPr>
              <w:b/>
              <w:color w:val="auto"/>
              <w:highlight w:val="none"/>
            </w:rPr>
            <w:instrText xml:space="preserve"> HYPERLINK \l _Toc11766 </w:instrText>
          </w:r>
          <w:r>
            <w:rPr>
              <w:b/>
              <w:color w:val="auto"/>
              <w:highlight w:val="none"/>
            </w:rPr>
            <w:fldChar w:fldCharType="separate"/>
          </w:r>
          <w:r>
            <w:rPr>
              <w:rFonts w:hint="eastAsia" w:ascii="黑体" w:hAnsi="黑体" w:eastAsia="黑体"/>
              <w:b/>
              <w:color w:val="auto"/>
              <w:szCs w:val="44"/>
              <w:highlight w:val="none"/>
              <w:lang w:eastAsia="zh-CN"/>
            </w:rPr>
            <w:t>第四部分</w:t>
          </w:r>
          <w:r>
            <w:rPr>
              <w:rFonts w:hint="eastAsia" w:ascii="黑体" w:hAnsi="黑体" w:eastAsia="黑体"/>
              <w:b/>
              <w:color w:val="auto"/>
              <w:szCs w:val="44"/>
              <w:highlight w:val="none"/>
              <w:lang w:val="en-US" w:eastAsia="zh-CN"/>
            </w:rPr>
            <w:t xml:space="preserve">    附件</w:t>
          </w:r>
          <w:r>
            <w:rPr>
              <w:b/>
              <w:color w:val="auto"/>
              <w:highlight w:val="none"/>
            </w:rPr>
            <w:tab/>
          </w:r>
          <w:r>
            <w:rPr>
              <w:b/>
              <w:color w:val="auto"/>
              <w:highlight w:val="none"/>
            </w:rPr>
            <w:fldChar w:fldCharType="begin"/>
          </w:r>
          <w:r>
            <w:rPr>
              <w:b/>
              <w:color w:val="auto"/>
              <w:highlight w:val="none"/>
            </w:rPr>
            <w:instrText xml:space="preserve"> PAGEREF _Toc11766 \h </w:instrText>
          </w:r>
          <w:r>
            <w:rPr>
              <w:b/>
              <w:color w:val="auto"/>
              <w:highlight w:val="none"/>
            </w:rPr>
            <w:fldChar w:fldCharType="separate"/>
          </w:r>
          <w:r>
            <w:rPr>
              <w:b/>
              <w:color w:val="auto"/>
              <w:highlight w:val="none"/>
            </w:rPr>
            <w:t>17</w:t>
          </w:r>
          <w:r>
            <w:rPr>
              <w:b/>
              <w:color w:val="auto"/>
              <w:highlight w:val="none"/>
            </w:rPr>
            <w:fldChar w:fldCharType="end"/>
          </w:r>
          <w:r>
            <w:rPr>
              <w:b/>
              <w:color w:val="auto"/>
              <w:highlight w:val="none"/>
            </w:rPr>
            <w:fldChar w:fldCharType="end"/>
          </w:r>
        </w:p>
        <w:p>
          <w:pPr>
            <w:pStyle w:val="46"/>
            <w:tabs>
              <w:tab w:val="right" w:leader="dot" w:pos="10171"/>
            </w:tabs>
            <w:rPr>
              <w:b/>
              <w:color w:val="auto"/>
              <w:highlight w:val="none"/>
            </w:rPr>
          </w:pPr>
          <w:r>
            <w:rPr>
              <w:b/>
              <w:color w:val="auto"/>
              <w:highlight w:val="none"/>
            </w:rPr>
            <w:fldChar w:fldCharType="begin"/>
          </w:r>
          <w:r>
            <w:rPr>
              <w:b/>
              <w:color w:val="auto"/>
              <w:highlight w:val="none"/>
            </w:rPr>
            <w:instrText xml:space="preserve"> HYPERLINK \l _Toc28289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_Toc28289 \h </w:instrText>
          </w:r>
          <w:r>
            <w:rPr>
              <w:b/>
              <w:color w:val="auto"/>
              <w:highlight w:val="none"/>
            </w:rPr>
            <w:fldChar w:fldCharType="separate"/>
          </w:r>
          <w:r>
            <w:rPr>
              <w:b/>
              <w:color w:val="auto"/>
              <w:highlight w:val="none"/>
            </w:rPr>
            <w:t>47</w:t>
          </w:r>
          <w:r>
            <w:rPr>
              <w:b/>
              <w:color w:val="auto"/>
              <w:highlight w:val="none"/>
            </w:rPr>
            <w:fldChar w:fldCharType="end"/>
          </w:r>
          <w:r>
            <w:rPr>
              <w:b/>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_Toc27318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一、收入支出决算总表</w:t>
          </w:r>
          <w:r>
            <w:rPr>
              <w:color w:val="auto"/>
              <w:highlight w:val="none"/>
            </w:rPr>
            <w:tab/>
          </w:r>
          <w:r>
            <w:rPr>
              <w:color w:val="auto"/>
              <w:highlight w:val="none"/>
            </w:rPr>
            <w:fldChar w:fldCharType="begin"/>
          </w:r>
          <w:r>
            <w:rPr>
              <w:color w:val="auto"/>
              <w:highlight w:val="none"/>
            </w:rPr>
            <w:instrText xml:space="preserve"> PAGEREF _Toc27318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_Toc26554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二、收入决算表</w:t>
          </w:r>
          <w:r>
            <w:rPr>
              <w:color w:val="auto"/>
              <w:highlight w:val="none"/>
            </w:rPr>
            <w:tab/>
          </w:r>
          <w:r>
            <w:rPr>
              <w:color w:val="auto"/>
              <w:highlight w:val="none"/>
            </w:rPr>
            <w:fldChar w:fldCharType="begin"/>
          </w:r>
          <w:r>
            <w:rPr>
              <w:color w:val="auto"/>
              <w:highlight w:val="none"/>
            </w:rPr>
            <w:instrText xml:space="preserve"> PAGEREF _Toc26554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_Toc22522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三、支出决算表</w:t>
          </w:r>
          <w:r>
            <w:rPr>
              <w:color w:val="auto"/>
              <w:highlight w:val="none"/>
            </w:rPr>
            <w:tab/>
          </w:r>
          <w:r>
            <w:rPr>
              <w:color w:val="auto"/>
              <w:highlight w:val="none"/>
            </w:rPr>
            <w:fldChar w:fldCharType="begin"/>
          </w:r>
          <w:r>
            <w:rPr>
              <w:color w:val="auto"/>
              <w:highlight w:val="none"/>
            </w:rPr>
            <w:instrText xml:space="preserve"> PAGEREF _Toc22522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_Toc23748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四、财政拨款收入支出决算总表</w:t>
          </w:r>
          <w:r>
            <w:rPr>
              <w:color w:val="auto"/>
              <w:highlight w:val="none"/>
            </w:rPr>
            <w:tab/>
          </w:r>
          <w:r>
            <w:rPr>
              <w:color w:val="auto"/>
              <w:highlight w:val="none"/>
            </w:rPr>
            <w:fldChar w:fldCharType="begin"/>
          </w:r>
          <w:r>
            <w:rPr>
              <w:color w:val="auto"/>
              <w:highlight w:val="none"/>
            </w:rPr>
            <w:instrText xml:space="preserve"> PAGEREF _Toc23748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_Toc27508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五、财政拨款支出决算明细表</w:t>
          </w:r>
          <w:r>
            <w:rPr>
              <w:color w:val="auto"/>
              <w:highlight w:val="none"/>
            </w:rPr>
            <w:tab/>
          </w:r>
          <w:r>
            <w:rPr>
              <w:color w:val="auto"/>
              <w:highlight w:val="none"/>
            </w:rPr>
            <w:fldChar w:fldCharType="begin"/>
          </w:r>
          <w:r>
            <w:rPr>
              <w:color w:val="auto"/>
              <w:highlight w:val="none"/>
            </w:rPr>
            <w:instrText xml:space="preserve"> PAGEREF _Toc27508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_Toc20268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六、一般公共预算财政拨款支出决算表</w:t>
          </w:r>
          <w:r>
            <w:rPr>
              <w:color w:val="auto"/>
              <w:highlight w:val="none"/>
            </w:rPr>
            <w:tab/>
          </w:r>
          <w:r>
            <w:rPr>
              <w:color w:val="auto"/>
              <w:highlight w:val="none"/>
            </w:rPr>
            <w:fldChar w:fldCharType="begin"/>
          </w:r>
          <w:r>
            <w:rPr>
              <w:color w:val="auto"/>
              <w:highlight w:val="none"/>
            </w:rPr>
            <w:instrText xml:space="preserve"> PAGEREF _Toc20268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_Toc32729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七、一般公共预算财政拨款支出决算明细表</w:t>
          </w:r>
          <w:r>
            <w:rPr>
              <w:color w:val="auto"/>
              <w:highlight w:val="none"/>
            </w:rPr>
            <w:tab/>
          </w:r>
          <w:r>
            <w:rPr>
              <w:color w:val="auto"/>
              <w:highlight w:val="none"/>
            </w:rPr>
            <w:fldChar w:fldCharType="begin"/>
          </w:r>
          <w:r>
            <w:rPr>
              <w:color w:val="auto"/>
              <w:highlight w:val="none"/>
            </w:rPr>
            <w:instrText xml:space="preserve"> PAGEREF _Toc32729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_Toc30915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八、一般公共预算财政拨款基本支出决算明细表</w:t>
          </w:r>
          <w:r>
            <w:rPr>
              <w:color w:val="auto"/>
              <w:highlight w:val="none"/>
            </w:rPr>
            <w:tab/>
          </w:r>
          <w:r>
            <w:rPr>
              <w:color w:val="auto"/>
              <w:highlight w:val="none"/>
            </w:rPr>
            <w:fldChar w:fldCharType="begin"/>
          </w:r>
          <w:r>
            <w:rPr>
              <w:color w:val="auto"/>
              <w:highlight w:val="none"/>
            </w:rPr>
            <w:instrText xml:space="preserve"> PAGEREF _Toc30915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_Toc20962 </w:instrText>
          </w:r>
          <w:r>
            <w:rPr>
              <w:color w:val="auto"/>
              <w:highlight w:val="none"/>
            </w:rPr>
            <w:fldChar w:fldCharType="separate"/>
          </w:r>
          <w:r>
            <w:rPr>
              <w:rFonts w:hint="eastAsia" w:ascii="仿宋_GB2312" w:hAnsi="Calibri" w:eastAsia="仿宋_GB2312" w:cs="仿宋"/>
              <w:bCs w:val="0"/>
              <w:color w:val="auto"/>
              <w:szCs w:val="32"/>
              <w:highlight w:val="none"/>
              <w:lang w:val="en-US" w:eastAsia="zh-CN" w:bidi="ar-SA"/>
            </w:rPr>
            <w:t>九、一般公共预算财政拨款项目支出决算表</w:t>
          </w:r>
          <w:r>
            <w:rPr>
              <w:color w:val="auto"/>
              <w:highlight w:val="none"/>
            </w:rPr>
            <w:tab/>
          </w:r>
          <w:r>
            <w:rPr>
              <w:color w:val="auto"/>
              <w:highlight w:val="none"/>
            </w:rPr>
            <w:fldChar w:fldCharType="begin"/>
          </w:r>
          <w:r>
            <w:rPr>
              <w:color w:val="auto"/>
              <w:highlight w:val="none"/>
            </w:rPr>
            <w:instrText xml:space="preserve"> PAGEREF _Toc20962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_Toc3297 </w:instrText>
          </w:r>
          <w:r>
            <w:rPr>
              <w:color w:val="auto"/>
              <w:highlight w:val="none"/>
            </w:rPr>
            <w:fldChar w:fldCharType="separate"/>
          </w:r>
          <w:r>
            <w:rPr>
              <w:rFonts w:hint="eastAsia" w:ascii="仿宋_GB2312" w:hAnsi="Calibri" w:eastAsia="仿宋_GB2312" w:cs="仿宋"/>
              <w:bCs w:val="0"/>
              <w:color w:val="auto"/>
              <w:kern w:val="2"/>
              <w:szCs w:val="32"/>
              <w:highlight w:val="none"/>
              <w:lang w:val="en-US" w:eastAsia="zh-CN" w:bidi="ar-SA"/>
            </w:rPr>
            <w:t>十、政府性基金预算财政拨款收入支出决算表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_Toc3297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_Toc4863 </w:instrText>
          </w:r>
          <w:r>
            <w:rPr>
              <w:color w:val="auto"/>
              <w:highlight w:val="none"/>
            </w:rPr>
            <w:fldChar w:fldCharType="separate"/>
          </w:r>
          <w:r>
            <w:rPr>
              <w:rFonts w:hint="eastAsia" w:ascii="仿宋_GB2312" w:hAnsi="Calibri" w:eastAsia="仿宋_GB2312" w:cs="仿宋"/>
              <w:bCs w:val="0"/>
              <w:color w:val="auto"/>
              <w:kern w:val="2"/>
              <w:szCs w:val="32"/>
              <w:highlight w:val="none"/>
              <w:lang w:val="en-US" w:eastAsia="zh-CN" w:bidi="ar-SA"/>
            </w:rPr>
            <w:t>十一、国有资本经营预算财政拨款收入支出决算表</w:t>
          </w:r>
          <w:r>
            <w:rPr>
              <w:color w:val="auto"/>
              <w:highlight w:val="none"/>
            </w:rPr>
            <w:tab/>
          </w:r>
          <w:r>
            <w:rPr>
              <w:color w:val="auto"/>
              <w:highlight w:val="none"/>
            </w:rPr>
            <w:fldChar w:fldCharType="begin"/>
          </w:r>
          <w:r>
            <w:rPr>
              <w:color w:val="auto"/>
              <w:highlight w:val="none"/>
            </w:rPr>
            <w:instrText xml:space="preserve"> PAGEREF _Toc4863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_Toc31943 </w:instrText>
          </w:r>
          <w:r>
            <w:rPr>
              <w:color w:val="auto"/>
              <w:highlight w:val="none"/>
            </w:rPr>
            <w:fldChar w:fldCharType="separate"/>
          </w:r>
          <w:r>
            <w:rPr>
              <w:rFonts w:hint="eastAsia" w:ascii="仿宋_GB2312" w:hAnsi="Calibri" w:eastAsia="仿宋_GB2312" w:cs="仿宋"/>
              <w:bCs w:val="0"/>
              <w:color w:val="auto"/>
              <w:kern w:val="2"/>
              <w:szCs w:val="32"/>
              <w:highlight w:val="none"/>
              <w:lang w:val="en-US" w:eastAsia="zh-CN" w:bidi="ar-SA"/>
            </w:rPr>
            <w:t>十二、国有资本经营预算财政拨款支出决算表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_Toc31943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47"/>
            <w:tabs>
              <w:tab w:val="right" w:leader="dot" w:pos="10171"/>
            </w:tabs>
            <w:rPr>
              <w:color w:val="auto"/>
              <w:highlight w:val="none"/>
            </w:rPr>
          </w:pPr>
          <w:r>
            <w:rPr>
              <w:color w:val="auto"/>
              <w:highlight w:val="none"/>
            </w:rPr>
            <w:fldChar w:fldCharType="begin"/>
          </w:r>
          <w:r>
            <w:rPr>
              <w:color w:val="auto"/>
              <w:highlight w:val="none"/>
            </w:rPr>
            <w:instrText xml:space="preserve"> HYPERLINK \l _Toc9910 </w:instrText>
          </w:r>
          <w:r>
            <w:rPr>
              <w:color w:val="auto"/>
              <w:highlight w:val="none"/>
            </w:rPr>
            <w:fldChar w:fldCharType="separate"/>
          </w:r>
          <w:r>
            <w:rPr>
              <w:rFonts w:hint="eastAsia" w:ascii="仿宋_GB2312" w:hAnsi="Calibri" w:eastAsia="仿宋_GB2312" w:cs="仿宋"/>
              <w:bCs w:val="0"/>
              <w:color w:val="auto"/>
              <w:kern w:val="2"/>
              <w:szCs w:val="32"/>
              <w:highlight w:val="none"/>
              <w:lang w:val="en-US" w:eastAsia="zh-CN" w:bidi="ar-SA"/>
            </w:rPr>
            <w:t>十三、财政拨款“三公经费”支出决算</w:t>
          </w:r>
          <w:r>
            <w:rPr>
              <w:color w:val="auto"/>
              <w:highlight w:val="none"/>
            </w:rPr>
            <w:tab/>
          </w:r>
          <w:r>
            <w:rPr>
              <w:color w:val="auto"/>
              <w:highlight w:val="none"/>
            </w:rPr>
            <w:fldChar w:fldCharType="begin"/>
          </w:r>
          <w:r>
            <w:rPr>
              <w:color w:val="auto"/>
              <w:highlight w:val="none"/>
            </w:rPr>
            <w:instrText xml:space="preserve"> PAGEREF _Toc9910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rPr>
              <w:b/>
              <w:color w:val="auto"/>
              <w:highlight w:val="none"/>
            </w:rPr>
          </w:pPr>
          <w:r>
            <w:rPr>
              <w:b/>
              <w:color w:val="auto"/>
              <w:highlight w:val="none"/>
            </w:rPr>
            <w:fldChar w:fldCharType="end"/>
          </w:r>
        </w:p>
      </w:sdtContent>
    </w:sdt>
    <w:p>
      <w:pPr>
        <w:rPr>
          <w:b/>
          <w:color w:val="auto"/>
          <w:highlight w:val="none"/>
        </w:rPr>
      </w:pPr>
    </w:p>
    <w:p>
      <w:pPr>
        <w:widowControl/>
        <w:jc w:val="left"/>
        <w:rPr>
          <w:rFonts w:ascii="黑体" w:hAnsi="黑体" w:eastAsia="黑体"/>
          <w:bCs/>
          <w:color w:val="auto"/>
          <w:kern w:val="44"/>
          <w:sz w:val="44"/>
          <w:szCs w:val="44"/>
          <w:highlight w:val="none"/>
        </w:rPr>
      </w:pPr>
      <w:r>
        <w:rPr>
          <w:rFonts w:ascii="黑体" w:hAnsi="黑体" w:eastAsia="黑体"/>
          <w:b/>
          <w:color w:val="auto"/>
          <w:highlight w:val="none"/>
        </w:rPr>
        <w:br w:type="page"/>
      </w:r>
    </w:p>
    <w:p>
      <w:pPr>
        <w:pStyle w:val="4"/>
        <w:jc w:val="center"/>
        <w:rPr>
          <w:rStyle w:val="22"/>
          <w:rFonts w:ascii="黑体" w:hAnsi="黑体" w:eastAsia="黑体"/>
          <w:b/>
          <w:bCs w:val="0"/>
          <w:color w:val="auto"/>
          <w:highlight w:val="none"/>
        </w:rPr>
      </w:pPr>
      <w:bookmarkStart w:id="17" w:name="_Toc14838"/>
      <w:r>
        <w:rPr>
          <w:rFonts w:hint="eastAsia" w:ascii="黑体" w:hAnsi="黑体" w:eastAsia="黑体"/>
          <w:b w:val="0"/>
          <w:color w:val="auto"/>
          <w:highlight w:val="none"/>
        </w:rPr>
        <w:t xml:space="preserve">第一部分 </w:t>
      </w:r>
      <w:r>
        <w:rPr>
          <w:rStyle w:val="22"/>
          <w:rFonts w:hint="eastAsia" w:ascii="黑体" w:hAnsi="黑体" w:eastAsia="黑体"/>
          <w:b w:val="0"/>
          <w:bCs w:val="0"/>
          <w:color w:val="auto"/>
          <w:highlight w:val="none"/>
        </w:rPr>
        <w:t>部门概况</w:t>
      </w:r>
      <w:bookmarkEnd w:id="15"/>
      <w:bookmarkEnd w:id="16"/>
      <w:bookmarkEnd w:id="17"/>
    </w:p>
    <w:p>
      <w:pPr>
        <w:widowControl/>
        <w:jc w:val="left"/>
        <w:rPr>
          <w:rFonts w:ascii="黑体" w:eastAsia="黑体"/>
          <w:color w:val="auto"/>
          <w:sz w:val="32"/>
          <w:szCs w:val="32"/>
          <w:highlight w:val="none"/>
        </w:rPr>
      </w:pPr>
    </w:p>
    <w:p>
      <w:pPr>
        <w:pStyle w:val="5"/>
        <w:rPr>
          <w:rFonts w:ascii="仿宋" w:hAnsi="仿宋" w:eastAsia="仿宋"/>
          <w:bCs/>
          <w:color w:val="auto"/>
          <w:sz w:val="32"/>
          <w:szCs w:val="32"/>
          <w:highlight w:val="none"/>
        </w:rPr>
      </w:pPr>
      <w:bookmarkStart w:id="18" w:name="_Toc15377197"/>
      <w:bookmarkStart w:id="19" w:name="_Toc32266"/>
      <w:bookmarkStart w:id="20" w:name="_Toc15396600"/>
      <w:r>
        <w:rPr>
          <w:rFonts w:hint="eastAsia" w:ascii="黑体" w:hAnsi="黑体" w:eastAsia="黑体"/>
          <w:b w:val="0"/>
          <w:color w:val="auto"/>
          <w:highlight w:val="none"/>
        </w:rPr>
        <w:t>一、基</w:t>
      </w:r>
      <w:r>
        <w:rPr>
          <w:rStyle w:val="23"/>
          <w:rFonts w:hint="eastAsia" w:ascii="黑体" w:hAnsi="黑体" w:eastAsia="黑体"/>
          <w:b w:val="0"/>
          <w:bCs w:val="0"/>
          <w:color w:val="auto"/>
          <w:highlight w:val="none"/>
        </w:rPr>
        <w:t>本职能</w:t>
      </w:r>
      <w:bookmarkEnd w:id="18"/>
      <w:bookmarkEnd w:id="19"/>
      <w:bookmarkEnd w:id="20"/>
      <w:bookmarkStart w:id="21" w:name="_Toc15378445"/>
      <w:bookmarkStart w:id="22" w:name="_Toc15377198"/>
    </w:p>
    <w:bookmarkEnd w:id="21"/>
    <w:bookmarkEnd w:id="22"/>
    <w:p>
      <w:pPr>
        <w:pStyle w:val="2"/>
        <w:adjustRightInd w:val="0"/>
        <w:snapToGrid w:val="0"/>
        <w:spacing w:beforeLines="0" w:line="560" w:lineRule="exact"/>
        <w:ind w:firstLine="672" w:firstLineChars="210"/>
        <w:rPr>
          <w:rFonts w:hAnsi="楷体_GB2312" w:cs="楷体_GB2312"/>
          <w:color w:val="auto"/>
          <w:sz w:val="32"/>
          <w:szCs w:val="32"/>
          <w:highlight w:val="none"/>
        </w:rPr>
      </w:pPr>
      <w:bookmarkStart w:id="23" w:name="_Toc15377199"/>
      <w:bookmarkStart w:id="24" w:name="_Toc15378446"/>
      <w:r>
        <w:rPr>
          <w:rFonts w:hint="eastAsia" w:hAnsi="楷体_GB2312" w:cs="楷体_GB2312"/>
          <w:color w:val="auto"/>
          <w:sz w:val="32"/>
          <w:szCs w:val="32"/>
          <w:highlight w:val="none"/>
        </w:rPr>
        <w:t>主要职责为：负责辖区内</w:t>
      </w:r>
      <w:r>
        <w:rPr>
          <w:rFonts w:hint="eastAsia" w:hAnsi="楷体_GB2312" w:cs="楷体_GB2312"/>
          <w:color w:val="auto"/>
          <w:sz w:val="32"/>
          <w:szCs w:val="32"/>
          <w:highlight w:val="none"/>
          <w:lang w:eastAsia="zh-CN"/>
        </w:rPr>
        <w:t>经济社区发展、</w:t>
      </w:r>
      <w:r>
        <w:rPr>
          <w:rFonts w:hint="eastAsia" w:hAnsi="楷体_GB2312" w:cs="楷体_GB2312"/>
          <w:color w:val="auto"/>
          <w:sz w:val="32"/>
          <w:szCs w:val="32"/>
          <w:highlight w:val="none"/>
        </w:rPr>
        <w:t>安全生产、信访维稳、房屋征收与补偿、计划生育、民政、劳动就业、社会保障、环境卫生等工作。</w:t>
      </w:r>
    </w:p>
    <w:bookmarkEnd w:id="23"/>
    <w:bookmarkEnd w:id="24"/>
    <w:p>
      <w:pPr>
        <w:pStyle w:val="5"/>
        <w:rPr>
          <w:rStyle w:val="23"/>
          <w:b w:val="0"/>
          <w:bCs w:val="0"/>
          <w:color w:val="auto"/>
          <w:highlight w:val="none"/>
        </w:rPr>
      </w:pPr>
      <w:bookmarkStart w:id="25" w:name="_Toc14675"/>
      <w:bookmarkStart w:id="26" w:name="_Toc15396601"/>
      <w:bookmarkStart w:id="27"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3"/>
          <w:rFonts w:hint="eastAsia" w:ascii="黑体" w:hAnsi="黑体" w:eastAsia="黑体"/>
          <w:b w:val="0"/>
          <w:bCs w:val="0"/>
          <w:color w:val="auto"/>
          <w:highlight w:val="none"/>
        </w:rPr>
        <w:t>构设置</w:t>
      </w:r>
      <w:bookmarkEnd w:id="25"/>
      <w:bookmarkEnd w:id="26"/>
      <w:bookmarkEnd w:id="27"/>
    </w:p>
    <w:p>
      <w:pPr>
        <w:ind w:firstLine="800" w:firstLineChars="250"/>
        <w:rPr>
          <w:rFonts w:hint="eastAsia" w:ascii="仿宋_GB2312" w:hAnsi="仿宋_GB2312" w:eastAsia="仿宋_GB2312" w:cs="仿宋_GB2312"/>
          <w:color w:val="auto"/>
          <w:sz w:val="32"/>
          <w:szCs w:val="32"/>
          <w:highlight w:val="none"/>
          <w:lang w:eastAsia="zh-CN"/>
        </w:rPr>
      </w:pPr>
      <w:bookmarkStart w:id="28" w:name="_Toc15396602"/>
      <w:bookmarkStart w:id="29" w:name="_Toc15377204"/>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个。纳入</w:t>
      </w:r>
      <w:r>
        <w:rPr>
          <w:rFonts w:hint="eastAsia" w:ascii="仿宋_GB2312" w:eastAsia="仿宋_GB2312" w:cs="仿宋_GB2312"/>
          <w:color w:val="auto"/>
          <w:sz w:val="32"/>
          <w:szCs w:val="32"/>
          <w:highlight w:val="none"/>
        </w:rPr>
        <w:t>下西坝街道办事处</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年度部门决算编制范围的二级预算单位包括：</w:t>
      </w:r>
      <w:r>
        <w:rPr>
          <w:rFonts w:hint="eastAsia" w:ascii="仿宋_GB2312" w:hAnsi="仿宋_GB2312" w:eastAsia="仿宋_GB2312" w:cs="仿宋_GB2312"/>
          <w:color w:val="auto"/>
          <w:sz w:val="32"/>
          <w:szCs w:val="32"/>
          <w:highlight w:val="none"/>
          <w:lang w:eastAsia="zh-CN"/>
        </w:rPr>
        <w:t>广元经济技术开发区</w:t>
      </w:r>
      <w:r>
        <w:rPr>
          <w:rFonts w:hint="eastAsia" w:ascii="仿宋_GB2312" w:eastAsia="仿宋_GB2312" w:cs="仿宋_GB2312"/>
          <w:color w:val="auto"/>
          <w:sz w:val="32"/>
          <w:szCs w:val="32"/>
          <w:highlight w:val="none"/>
        </w:rPr>
        <w:t>下西坝街道办事处</w:t>
      </w:r>
      <w:r>
        <w:rPr>
          <w:rFonts w:hint="eastAsia" w:ascii="仿宋_GB2312" w:eastAsia="仿宋_GB2312" w:cs="仿宋_GB2312"/>
          <w:color w:val="auto"/>
          <w:sz w:val="32"/>
          <w:szCs w:val="32"/>
          <w:highlight w:val="none"/>
          <w:lang w:eastAsia="zh-CN"/>
        </w:rPr>
        <w:t>。</w:t>
      </w:r>
    </w:p>
    <w:p>
      <w:pPr>
        <w:pStyle w:val="35"/>
        <w:spacing w:line="4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下西坝街道办事处地处广元市城区以西，幅员面积</w:t>
      </w:r>
      <w:r>
        <w:rPr>
          <w:rFonts w:ascii="仿宋_GB2312" w:eastAsia="仿宋_GB2312" w:cs="仿宋_GB2312"/>
          <w:color w:val="auto"/>
          <w:sz w:val="32"/>
          <w:szCs w:val="32"/>
          <w:highlight w:val="none"/>
        </w:rPr>
        <w:t>12.6</w:t>
      </w:r>
      <w:r>
        <w:rPr>
          <w:rFonts w:hint="eastAsia" w:ascii="仿宋_GB2312" w:eastAsia="仿宋_GB2312" w:cs="仿宋_GB2312"/>
          <w:color w:val="auto"/>
          <w:sz w:val="32"/>
          <w:szCs w:val="32"/>
          <w:highlight w:val="none"/>
        </w:rPr>
        <w:t>平方公里，下辖</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个社区（八一社区、下西社区、活力社区、王家营社区、南陵社区、曾家营社区、树仁社区、铁路社区、</w:t>
      </w:r>
      <w:r>
        <w:rPr>
          <w:rFonts w:hint="eastAsia" w:ascii="仿宋_GB2312" w:eastAsia="仿宋_GB2312" w:cs="仿宋_GB2312"/>
          <w:color w:val="auto"/>
          <w:sz w:val="32"/>
          <w:szCs w:val="32"/>
          <w:highlight w:val="none"/>
          <w:lang w:eastAsia="zh-CN"/>
        </w:rPr>
        <w:t>惠家沟社区</w:t>
      </w:r>
      <w:r>
        <w:rPr>
          <w:rFonts w:hint="eastAsia" w:asci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实际财政供养总人数34人，其中：在职正式人员1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名，聘用人员20名。</w:t>
      </w:r>
    </w:p>
    <w:p>
      <w:pPr>
        <w:pStyle w:val="4"/>
        <w:ind w:right="440"/>
        <w:jc w:val="right"/>
        <w:rPr>
          <w:rStyle w:val="22"/>
          <w:rFonts w:ascii="黑体" w:hAnsi="黑体" w:eastAsia="黑体"/>
          <w:b w:val="0"/>
          <w:bCs w:val="0"/>
          <w:color w:val="auto"/>
          <w:highlight w:val="none"/>
        </w:rPr>
      </w:pPr>
      <w:bookmarkStart w:id="30" w:name="_Toc14940"/>
      <w:r>
        <w:rPr>
          <w:rFonts w:hint="eastAsia" w:ascii="黑体" w:hAnsi="黑体" w:eastAsia="黑体"/>
          <w:b w:val="0"/>
          <w:color w:val="auto"/>
          <w:highlight w:val="none"/>
        </w:rPr>
        <w:t>第二部分</w:t>
      </w:r>
      <w:r>
        <w:rPr>
          <w:rStyle w:val="22"/>
          <w:rFonts w:hint="eastAsia" w:ascii="黑体" w:hAnsi="黑体" w:eastAsia="黑体"/>
          <w:b w:val="0"/>
          <w:bCs w:val="0"/>
          <w:color w:val="auto"/>
          <w:highlight w:val="none"/>
        </w:rPr>
        <w:t>202</w:t>
      </w:r>
      <w:r>
        <w:rPr>
          <w:rStyle w:val="22"/>
          <w:rFonts w:hint="eastAsia" w:ascii="黑体" w:hAnsi="黑体" w:eastAsia="黑体"/>
          <w:b w:val="0"/>
          <w:bCs w:val="0"/>
          <w:color w:val="auto"/>
          <w:highlight w:val="none"/>
          <w:lang w:val="en-US" w:eastAsia="zh-CN"/>
        </w:rPr>
        <w:t>3</w:t>
      </w:r>
      <w:r>
        <w:rPr>
          <w:rStyle w:val="22"/>
          <w:rFonts w:hint="eastAsia" w:ascii="黑体" w:hAnsi="黑体" w:eastAsia="黑体"/>
          <w:b w:val="0"/>
          <w:bCs w:val="0"/>
          <w:color w:val="auto"/>
          <w:highlight w:val="none"/>
        </w:rPr>
        <w:t>年度部门决算情况说明</w:t>
      </w:r>
      <w:bookmarkEnd w:id="28"/>
      <w:bookmarkEnd w:id="29"/>
      <w:bookmarkEnd w:id="30"/>
    </w:p>
    <w:p>
      <w:pPr>
        <w:rPr>
          <w:color w:val="auto"/>
          <w:highlight w:val="none"/>
        </w:rPr>
      </w:pPr>
    </w:p>
    <w:p>
      <w:pPr>
        <w:pStyle w:val="32"/>
        <w:numPr>
          <w:ilvl w:val="0"/>
          <w:numId w:val="1"/>
        </w:numPr>
        <w:spacing w:line="600" w:lineRule="exact"/>
        <w:ind w:firstLineChars="0"/>
        <w:outlineLvl w:val="1"/>
        <w:rPr>
          <w:rStyle w:val="23"/>
          <w:rFonts w:ascii="黑体" w:hAnsi="黑体" w:eastAsia="黑体"/>
          <w:b w:val="0"/>
          <w:color w:val="auto"/>
          <w:highlight w:val="none"/>
        </w:rPr>
      </w:pPr>
      <w:bookmarkStart w:id="31" w:name="_Toc15396603"/>
      <w:bookmarkStart w:id="32" w:name="_Toc577"/>
      <w:bookmarkStart w:id="33" w:name="_Toc15377205"/>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入支出决算总体情况说明</w:t>
      </w:r>
      <w:bookmarkEnd w:id="31"/>
      <w:bookmarkEnd w:id="32"/>
      <w:bookmarkEnd w:id="33"/>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1227.35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135.13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9.92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项目减少</w:t>
      </w:r>
      <w:r>
        <w:rPr>
          <w:rFonts w:hint="eastAsia" w:ascii="仿宋" w:hAnsi="仿宋" w:eastAsia="仿宋"/>
          <w:color w:val="auto"/>
          <w:sz w:val="32"/>
          <w:szCs w:val="32"/>
          <w:highlight w:val="none"/>
        </w:rPr>
        <w:t>。</w:t>
      </w:r>
    </w:p>
    <w:p>
      <w:pPr>
        <w:pStyle w:val="2"/>
        <w:pageBreakBefore w:val="0"/>
        <w:kinsoku/>
        <w:wordWrap/>
        <w:overflowPunct/>
        <w:topLinePunct w:val="0"/>
        <w:bidi w:val="0"/>
        <w:spacing w:line="576" w:lineRule="exact"/>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p>
    <w:p>
      <w:pPr>
        <w:pStyle w:val="17"/>
        <w:pageBreakBefore w:val="0"/>
        <w:kinsoku/>
        <w:wordWrap/>
        <w:overflowPunct/>
        <w:topLinePunct w:val="0"/>
        <w:bidi w:val="0"/>
        <w:spacing w:line="576" w:lineRule="exact"/>
        <w:jc w:val="both"/>
        <w:textAlignment w:val="auto"/>
        <w:rPr>
          <w:rFonts w:ascii="仿宋_GB2312" w:eastAsia="仿宋_GB2312"/>
          <w:color w:val="auto"/>
          <w:sz w:val="32"/>
          <w:szCs w:val="32"/>
          <w:highlight w:val="none"/>
        </w:rPr>
      </w:pPr>
    </w:p>
    <w:p>
      <w:pPr>
        <w:pStyle w:val="2"/>
        <w:pageBreakBefore w:val="0"/>
        <w:kinsoku/>
        <w:wordWrap/>
        <w:overflowPunct/>
        <w:topLinePunct w:val="0"/>
        <w:bidi w:val="0"/>
        <w:spacing w:line="576" w:lineRule="exact"/>
        <w:jc w:val="both"/>
        <w:textAlignment w:val="auto"/>
        <w:rPr>
          <w:color w:val="auto"/>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（图1：收、支决算总计变动情况图）</w:t>
      </w:r>
      <w:r>
        <w:rPr>
          <w:rFonts w:hint="eastAsia" w:ascii="黑体" w:hAnsi="黑体" w:eastAsia="黑体" w:cs="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252095</wp:posOffset>
            </wp:positionH>
            <wp:positionV relativeFrom="paragraph">
              <wp:posOffset>-8742680</wp:posOffset>
            </wp:positionV>
            <wp:extent cx="4706620" cy="3416935"/>
            <wp:effectExtent l="4445" t="4445" r="13335"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auto"/>
          <w:sz w:val="32"/>
          <w:szCs w:val="32"/>
          <w:highlight w:val="none"/>
        </w:rPr>
      </w:pPr>
    </w:p>
    <w:p>
      <w:pPr>
        <w:pStyle w:val="32"/>
        <w:numPr>
          <w:ilvl w:val="0"/>
          <w:numId w:val="1"/>
        </w:numPr>
        <w:spacing w:line="600" w:lineRule="exact"/>
        <w:ind w:firstLineChars="0"/>
        <w:outlineLvl w:val="1"/>
        <w:rPr>
          <w:rStyle w:val="23"/>
          <w:rFonts w:ascii="黑体" w:hAnsi="黑体" w:eastAsia="黑体"/>
          <w:b w:val="0"/>
          <w:color w:val="auto"/>
          <w:highlight w:val="none"/>
        </w:rPr>
      </w:pPr>
      <w:bookmarkStart w:id="34" w:name="_Toc15377206"/>
      <w:bookmarkStart w:id="35" w:name="_Toc15396604"/>
      <w:bookmarkStart w:id="36" w:name="_Toc24195"/>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入决算情况说明</w:t>
      </w:r>
      <w:bookmarkEnd w:id="34"/>
      <w:bookmarkEnd w:id="35"/>
      <w:bookmarkEnd w:id="36"/>
    </w:p>
    <w:p>
      <w:pPr>
        <w:spacing w:line="600" w:lineRule="exact"/>
        <w:ind w:firstLine="640" w:firstLineChars="200"/>
        <w:outlineLvl w:val="1"/>
        <w:rPr>
          <w:rFonts w:hint="eastAsia" w:ascii="仿宋" w:hAnsi="仿宋" w:eastAsia="仿宋"/>
          <w:color w:val="auto"/>
          <w:sz w:val="32"/>
          <w:szCs w:val="32"/>
          <w:highlight w:val="none"/>
          <w:lang w:eastAsia="zh-CN"/>
        </w:rPr>
      </w:pPr>
      <w:bookmarkStart w:id="37" w:name="_Toc12065"/>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1227.35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1158.61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；国有资本经营预算财政拨款收入</w:t>
      </w:r>
      <w:r>
        <w:rPr>
          <w:rFonts w:hint="eastAsia" w:ascii="仿宋" w:hAnsi="仿宋" w:eastAsia="仿宋"/>
          <w:color w:val="auto"/>
          <w:sz w:val="32"/>
          <w:szCs w:val="32"/>
          <w:highlight w:val="none"/>
          <w:lang w:val="en-US" w:eastAsia="zh-CN"/>
        </w:rPr>
        <w:t>60.74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bookmarkEnd w:id="37"/>
      <w:r>
        <w:rPr>
          <w:rFonts w:hint="eastAsia" w:ascii="仿宋" w:hAnsi="仿宋" w:eastAsia="仿宋"/>
          <w:color w:val="auto"/>
          <w:sz w:val="32"/>
          <w:szCs w:val="32"/>
          <w:highlight w:val="none"/>
          <w:lang w:eastAsia="zh-CN"/>
        </w:rPr>
        <w:t>。</w:t>
      </w:r>
    </w:p>
    <w:p>
      <w:pPr>
        <w:pStyle w:val="2"/>
        <w:ind w:firstLine="2240" w:firstLineChars="700"/>
        <w:rPr>
          <w:rFonts w:hint="eastAsia" w:ascii="黑体" w:hAnsi="黑体" w:eastAsia="黑体" w:cs="黑体"/>
          <w:b w:val="0"/>
          <w:bCs w:val="0"/>
          <w:color w:val="auto"/>
          <w:sz w:val="32"/>
          <w:szCs w:val="32"/>
          <w:highlight w:val="none"/>
        </w:rPr>
      </w:pPr>
    </w:p>
    <w:p>
      <w:pPr>
        <w:pStyle w:val="2"/>
        <w:ind w:firstLine="2240" w:firstLineChars="700"/>
        <w:rPr>
          <w:color w:val="auto"/>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175895</wp:posOffset>
            </wp:positionH>
            <wp:positionV relativeFrom="page">
              <wp:posOffset>6433820</wp:posOffset>
            </wp:positionV>
            <wp:extent cx="4774565" cy="2439670"/>
            <wp:effectExtent l="4445" t="4445" r="21590" b="1333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s="黑体"/>
          <w:b w:val="0"/>
          <w:bCs w:val="0"/>
          <w:color w:val="auto"/>
          <w:sz w:val="32"/>
          <w:szCs w:val="32"/>
          <w:highlight w:val="none"/>
        </w:rPr>
        <w:t>（图2：收入决算结构图）</w:t>
      </w:r>
    </w:p>
    <w:p>
      <w:pPr>
        <w:pStyle w:val="32"/>
        <w:numPr>
          <w:ilvl w:val="0"/>
          <w:numId w:val="0"/>
        </w:numPr>
        <w:spacing w:line="600" w:lineRule="exact"/>
        <w:ind w:left="640" w:leftChars="0"/>
        <w:outlineLvl w:val="9"/>
        <w:rPr>
          <w:rStyle w:val="23"/>
          <w:rFonts w:ascii="黑体" w:hAnsi="黑体" w:eastAsia="黑体"/>
          <w:b w:val="0"/>
          <w:color w:val="auto"/>
          <w:highlight w:val="none"/>
        </w:rPr>
      </w:pPr>
      <w:bookmarkStart w:id="38" w:name="_Toc15377207"/>
      <w:bookmarkStart w:id="39" w:name="_Toc15396605"/>
    </w:p>
    <w:p>
      <w:pPr>
        <w:pStyle w:val="32"/>
        <w:numPr>
          <w:ilvl w:val="0"/>
          <w:numId w:val="1"/>
        </w:numPr>
        <w:spacing w:line="600" w:lineRule="exact"/>
        <w:ind w:firstLineChars="0"/>
        <w:outlineLvl w:val="1"/>
        <w:rPr>
          <w:rStyle w:val="23"/>
          <w:rFonts w:ascii="黑体" w:hAnsi="黑体" w:eastAsia="黑体"/>
          <w:b w:val="0"/>
          <w:color w:val="auto"/>
          <w:highlight w:val="none"/>
        </w:rPr>
      </w:pPr>
      <w:bookmarkStart w:id="40" w:name="_Toc18825"/>
      <w:r>
        <w:rPr>
          <w:rFonts w:hint="eastAsia" w:ascii="黑体" w:hAnsi="黑体" w:eastAsia="黑体"/>
          <w:color w:val="auto"/>
          <w:sz w:val="32"/>
          <w:szCs w:val="32"/>
          <w:highlight w:val="none"/>
        </w:rPr>
        <w:t>支</w:t>
      </w:r>
      <w:r>
        <w:rPr>
          <w:rStyle w:val="23"/>
          <w:rFonts w:hint="eastAsia" w:ascii="黑体" w:hAnsi="黑体" w:eastAsia="黑体"/>
          <w:b w:val="0"/>
          <w:color w:val="auto"/>
          <w:highlight w:val="none"/>
        </w:rPr>
        <w:t>出决算情况说明</w:t>
      </w:r>
      <w:bookmarkEnd w:id="38"/>
      <w:bookmarkEnd w:id="39"/>
      <w:bookmarkEnd w:id="40"/>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1227.35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271.24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956.11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469265</wp:posOffset>
            </wp:positionH>
            <wp:positionV relativeFrom="paragraph">
              <wp:posOffset>90805</wp:posOffset>
            </wp:positionV>
            <wp:extent cx="4926965" cy="1891665"/>
            <wp:effectExtent l="4445" t="4445" r="21590" b="889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41" w:name="_Toc15396606"/>
      <w:bookmarkStart w:id="42" w:name="_Toc15377208"/>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（图3：支出决算结构图）</w:t>
      </w:r>
    </w:p>
    <w:p>
      <w:pPr>
        <w:pStyle w:val="2"/>
        <w:ind w:firstLine="640" w:firstLineChars="200"/>
        <w:outlineLvl w:val="1"/>
        <w:rPr>
          <w:rStyle w:val="23"/>
          <w:rFonts w:ascii="黑体" w:hAnsi="黑体" w:eastAsia="黑体"/>
          <w:b w:val="0"/>
          <w:color w:val="auto"/>
          <w:highlight w:val="none"/>
        </w:rPr>
      </w:pPr>
      <w:bookmarkStart w:id="43" w:name="_Toc24633"/>
      <w:r>
        <w:rPr>
          <w:rFonts w:hint="eastAsia" w:ascii="黑体" w:hAnsi="黑体" w:eastAsia="黑体"/>
          <w:color w:val="auto"/>
          <w:sz w:val="32"/>
          <w:szCs w:val="32"/>
          <w:highlight w:val="none"/>
        </w:rPr>
        <w:t>四、财</w:t>
      </w:r>
      <w:r>
        <w:rPr>
          <w:rStyle w:val="23"/>
          <w:rFonts w:hint="eastAsia" w:ascii="黑体" w:hAnsi="黑体" w:eastAsia="黑体"/>
          <w:b w:val="0"/>
          <w:color w:val="auto"/>
          <w:highlight w:val="none"/>
        </w:rPr>
        <w:t>政拨款收入支出决算总体情况说明</w:t>
      </w:r>
      <w:bookmarkEnd w:id="41"/>
      <w:bookmarkEnd w:id="42"/>
      <w:bookmarkEnd w:id="43"/>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1227.35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val="en-US" w:eastAsia="zh-CN"/>
        </w:rPr>
        <w:t>2022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135.13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9.92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项目减少</w:t>
      </w:r>
      <w:r>
        <w:rPr>
          <w:rFonts w:hint="eastAsia" w:ascii="仿宋" w:hAnsi="仿宋" w:eastAsia="仿宋"/>
          <w:color w:val="auto"/>
          <w:sz w:val="32"/>
          <w:szCs w:val="32"/>
          <w:highlight w:val="none"/>
        </w:rPr>
        <w:t>。</w:t>
      </w:r>
    </w:p>
    <w:p>
      <w:pPr>
        <w:pStyle w:val="2"/>
        <w:ind w:firstLine="1285" w:firstLineChars="400"/>
        <w:rPr>
          <w:rFonts w:hint="eastAsia" w:ascii="仿宋" w:hAnsi="仿宋" w:eastAsia="仿宋"/>
          <w:color w:val="auto"/>
          <w:sz w:val="32"/>
          <w:szCs w:val="32"/>
          <w:highlight w:val="none"/>
        </w:rPr>
      </w:pPr>
      <w:r>
        <w:rPr>
          <w:rFonts w:hint="eastAsia" w:ascii="黑体" w:hAnsi="黑体" w:eastAsia="黑体" w:cs="黑体"/>
          <w:b/>
          <w:bCs/>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357505</wp:posOffset>
            </wp:positionH>
            <wp:positionV relativeFrom="paragraph">
              <wp:posOffset>448945</wp:posOffset>
            </wp:positionV>
            <wp:extent cx="5227320" cy="2913380"/>
            <wp:effectExtent l="4445" t="4445" r="6985" b="1587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b/>
          <w:bCs/>
          <w:color w:val="auto"/>
          <w:sz w:val="32"/>
          <w:szCs w:val="32"/>
          <w:highlight w:val="none"/>
        </w:rPr>
        <w:t>（图4：财政拨款收、支决算总计变动情况）</w:t>
      </w:r>
    </w:p>
    <w:p>
      <w:pPr>
        <w:spacing w:line="600" w:lineRule="exact"/>
        <w:ind w:firstLine="640" w:firstLineChars="200"/>
        <w:outlineLvl w:val="9"/>
        <w:rPr>
          <w:rFonts w:hint="eastAsia" w:ascii="黑体" w:hAnsi="黑体" w:eastAsia="黑体"/>
          <w:color w:val="auto"/>
          <w:sz w:val="32"/>
          <w:szCs w:val="32"/>
          <w:highlight w:val="none"/>
        </w:rPr>
      </w:pPr>
      <w:bookmarkStart w:id="44" w:name="_Toc15377209"/>
      <w:bookmarkStart w:id="45" w:name="_Toc15396607"/>
    </w:p>
    <w:p>
      <w:pPr>
        <w:spacing w:line="600" w:lineRule="exact"/>
        <w:ind w:firstLine="640" w:firstLineChars="200"/>
        <w:outlineLvl w:val="1"/>
        <w:rPr>
          <w:rStyle w:val="23"/>
          <w:rFonts w:ascii="黑体" w:hAnsi="黑体" w:eastAsia="黑体"/>
          <w:b w:val="0"/>
          <w:color w:val="auto"/>
          <w:highlight w:val="none"/>
        </w:rPr>
      </w:pPr>
      <w:bookmarkStart w:id="46" w:name="_Toc265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般公共预算财政拨款支出决算情况说明</w:t>
      </w:r>
      <w:bookmarkEnd w:id="44"/>
      <w:bookmarkEnd w:id="45"/>
      <w:bookmarkEnd w:id="46"/>
    </w:p>
    <w:p>
      <w:pPr>
        <w:spacing w:line="600" w:lineRule="exact"/>
        <w:ind w:firstLine="642" w:firstLineChars="200"/>
        <w:outlineLvl w:val="2"/>
        <w:rPr>
          <w:rFonts w:ascii="仿宋" w:hAnsi="仿宋" w:eastAsia="仿宋"/>
          <w:b/>
          <w:color w:val="auto"/>
          <w:sz w:val="32"/>
          <w:szCs w:val="32"/>
          <w:highlight w:val="none"/>
        </w:rPr>
      </w:pPr>
      <w:bookmarkStart w:id="47" w:name="_Toc15377210"/>
      <w:r>
        <w:rPr>
          <w:rFonts w:hint="eastAsia" w:ascii="仿宋" w:hAnsi="仿宋" w:eastAsia="仿宋"/>
          <w:b/>
          <w:color w:val="auto"/>
          <w:sz w:val="32"/>
          <w:szCs w:val="32"/>
          <w:highlight w:val="none"/>
        </w:rPr>
        <w:t>（一）一般公共预算财政拨款支出决算总体情况</w:t>
      </w:r>
      <w:bookmarkEnd w:id="47"/>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1158.61</w:t>
      </w:r>
      <w:r>
        <w:rPr>
          <w:rFonts w:hint="eastAsia" w:ascii="仿宋" w:hAnsi="仿宋" w:eastAsia="仿宋"/>
          <w:color w:val="auto"/>
          <w:sz w:val="32"/>
          <w:szCs w:val="32"/>
          <w:highlight w:val="none"/>
        </w:rPr>
        <w:t>万元，占本年支出合计的100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val="en-US"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52.13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一般公共预算项目增加</w:t>
      </w:r>
      <w:r>
        <w:rPr>
          <w:rFonts w:hint="eastAsia" w:ascii="仿宋" w:hAnsi="仿宋" w:eastAsia="仿宋"/>
          <w:color w:val="auto"/>
          <w:sz w:val="32"/>
          <w:szCs w:val="32"/>
          <w:highlight w:val="none"/>
        </w:rPr>
        <w:t>。</w:t>
      </w:r>
    </w:p>
    <w:p>
      <w:pPr>
        <w:pStyle w:val="3"/>
        <w:pageBreakBefore w:val="0"/>
        <w:kinsoku/>
        <w:wordWrap/>
        <w:overflowPunct/>
        <w:topLinePunct w:val="0"/>
        <w:bidi w:val="0"/>
        <w:spacing w:line="576" w:lineRule="exact"/>
        <w:jc w:val="center"/>
        <w:textAlignment w:val="auto"/>
        <w:rPr>
          <w:rFonts w:hint="eastAsia" w:ascii="仿宋" w:hAnsi="仿宋" w:eastAsia="仿宋"/>
          <w:color w:val="auto"/>
          <w:sz w:val="32"/>
          <w:szCs w:val="32"/>
          <w:highlight w:val="none"/>
          <w:lang w:eastAsia="zh-CN"/>
        </w:rPr>
      </w:pPr>
      <w:r>
        <w:rPr>
          <w:rFonts w:hint="eastAsia" w:ascii="仿宋" w:hAnsi="仿宋" w:eastAsia="仿宋"/>
          <w:b/>
          <w:bCs/>
          <w:color w:val="auto"/>
          <w:sz w:val="32"/>
          <w:szCs w:val="32"/>
          <w:highlight w:val="none"/>
          <w:lang w:val="en-US" w:eastAsia="zh-CN"/>
        </w:rPr>
        <w:t xml:space="preserve"> （图5：一般公共预算财政拨款支出决算变动情况）</w:t>
      </w: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356870</wp:posOffset>
            </wp:positionH>
            <wp:positionV relativeFrom="page">
              <wp:posOffset>3376295</wp:posOffset>
            </wp:positionV>
            <wp:extent cx="5039360" cy="3411855"/>
            <wp:effectExtent l="4445" t="4445" r="23495" b="1270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48" w:name="_Toc15377211"/>
    </w:p>
    <w:p>
      <w:pPr>
        <w:pStyle w:val="2"/>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8"/>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1158.61</w:t>
      </w:r>
      <w:r>
        <w:rPr>
          <w:rFonts w:hint="eastAsia" w:ascii="仿宋" w:hAnsi="仿宋" w:eastAsia="仿宋"/>
          <w:color w:val="auto"/>
          <w:sz w:val="32"/>
          <w:szCs w:val="32"/>
          <w:highlight w:val="none"/>
        </w:rPr>
        <w:t>万元，</w:t>
      </w:r>
      <w:r>
        <w:rPr>
          <w:rFonts w:hint="eastAsia" w:ascii="仿宋_GB2312" w:hAnsi="仿宋_GB2312" w:eastAsia="仿宋_GB2312" w:cs="仿宋_GB2312"/>
          <w:color w:val="auto"/>
          <w:sz w:val="32"/>
          <w:szCs w:val="32"/>
          <w:highlight w:val="none"/>
        </w:rPr>
        <w:t>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一般公共服务支出</w:t>
      </w:r>
      <w:r>
        <w:rPr>
          <w:rFonts w:hint="eastAsia" w:ascii="仿宋_GB2312" w:hAnsi="仿宋_GB2312" w:eastAsia="仿宋_GB2312" w:cs="仿宋_GB2312"/>
          <w:color w:val="auto"/>
          <w:sz w:val="32"/>
          <w:szCs w:val="32"/>
          <w:highlight w:val="none"/>
          <w:lang w:val="en-US" w:eastAsia="zh-CN"/>
        </w:rPr>
        <w:t>496.61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rPr>
        <w:t>%；公共安全支出</w:t>
      </w:r>
      <w:r>
        <w:rPr>
          <w:rFonts w:hint="eastAsia" w:ascii="仿宋_GB2312" w:hAnsi="仿宋_GB2312" w:eastAsia="仿宋_GB2312" w:cs="仿宋_GB2312"/>
          <w:color w:val="auto"/>
          <w:sz w:val="32"/>
          <w:szCs w:val="32"/>
          <w:highlight w:val="none"/>
          <w:lang w:val="en-US" w:eastAsia="zh-CN"/>
        </w:rPr>
        <w:t>18.5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34.66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%；卫生</w:t>
      </w:r>
      <w:r>
        <w:rPr>
          <w:rFonts w:hint="eastAsia" w:ascii="仿宋_GB2312" w:hAnsi="仿宋_GB2312" w:eastAsia="仿宋_GB2312" w:cs="仿宋_GB2312"/>
          <w:color w:val="auto"/>
          <w:sz w:val="32"/>
          <w:szCs w:val="32"/>
          <w:highlight w:val="none"/>
          <w:lang w:eastAsia="zh-CN"/>
        </w:rPr>
        <w:t>健康</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10.71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%；城乡社区支出</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%；农林水支出</w:t>
      </w:r>
      <w:r>
        <w:rPr>
          <w:rFonts w:hint="eastAsia" w:ascii="仿宋_GB2312" w:hAnsi="仿宋_GB2312" w:eastAsia="仿宋_GB2312" w:cs="仿宋_GB2312"/>
          <w:color w:val="auto"/>
          <w:sz w:val="32"/>
          <w:szCs w:val="32"/>
          <w:highlight w:val="none"/>
          <w:lang w:val="en-US" w:eastAsia="zh-CN"/>
        </w:rPr>
        <w:t>561.38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%；交通运输支出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18.74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；节能环保支出</w:t>
      </w:r>
      <w:r>
        <w:rPr>
          <w:rFonts w:hint="eastAsia" w:ascii="仿宋_GB2312" w:hAnsi="仿宋_GB2312" w:eastAsia="仿宋_GB2312" w:cs="仿宋_GB2312"/>
          <w:color w:val="auto"/>
          <w:sz w:val="32"/>
          <w:szCs w:val="32"/>
          <w:highlight w:val="none"/>
          <w:lang w:val="en-US" w:eastAsia="zh-CN"/>
        </w:rPr>
        <w:t>5万元，占0.43%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w:t>
      </w:r>
    </w:p>
    <w:p>
      <w:pPr>
        <w:pageBreakBefore w:val="0"/>
        <w:kinsoku/>
        <w:wordWrap/>
        <w:overflowPunct/>
        <w:topLinePunct w:val="0"/>
        <w:bidi w:val="0"/>
        <w:spacing w:line="576" w:lineRule="exact"/>
        <w:jc w:val="center"/>
        <w:textAlignment w:val="auto"/>
        <w:rPr>
          <w:rFonts w:hint="eastAsia" w:ascii="仿宋" w:hAnsi="仿宋" w:eastAsia="仿宋"/>
          <w:b/>
          <w:color w:val="auto"/>
          <w:sz w:val="32"/>
          <w:szCs w:val="32"/>
          <w:highlight w:val="none"/>
        </w:rPr>
      </w:pPr>
      <w:bookmarkStart w:id="49" w:name="_Toc15377212"/>
    </w:p>
    <w:p>
      <w:pPr>
        <w:spacing w:line="600" w:lineRule="exact"/>
        <w:ind w:firstLine="960" w:firstLineChars="300"/>
        <w:outlineLvl w:val="2"/>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52070</wp:posOffset>
            </wp:positionH>
            <wp:positionV relativeFrom="paragraph">
              <wp:posOffset>6985</wp:posOffset>
            </wp:positionV>
            <wp:extent cx="5543550" cy="4056380"/>
            <wp:effectExtent l="4445" t="4445" r="14605" b="1587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lang w:val="en-US" w:eastAsia="zh-CN"/>
        </w:rPr>
        <w:t xml:space="preserve">  （</w:t>
      </w:r>
      <w:r>
        <w:rPr>
          <w:rFonts w:hint="eastAsia" w:ascii="仿宋" w:hAnsi="仿宋" w:eastAsia="仿宋"/>
          <w:b/>
          <w:color w:val="auto"/>
          <w:sz w:val="32"/>
          <w:szCs w:val="32"/>
          <w:highlight w:val="none"/>
          <w:lang w:val="en-US" w:eastAsia="zh-CN"/>
        </w:rPr>
        <w:t>图六</w:t>
      </w:r>
      <w:r>
        <w:rPr>
          <w:rFonts w:hint="eastAsia" w:ascii="黑体" w:hAnsi="黑体" w:eastAsia="黑体" w:cs="黑体"/>
          <w:color w:val="auto"/>
          <w:sz w:val="32"/>
          <w:szCs w:val="32"/>
          <w:highlight w:val="none"/>
        </w:rPr>
        <w:t>一般公共预算财政拨款支出决算结构</w:t>
      </w:r>
      <w:r>
        <w:rPr>
          <w:rFonts w:hint="eastAsia" w:ascii="仿宋" w:hAnsi="仿宋" w:eastAsia="仿宋"/>
          <w:b/>
          <w:color w:val="auto"/>
          <w:sz w:val="32"/>
          <w:szCs w:val="32"/>
          <w:highlight w:val="none"/>
          <w:lang w:val="en-US" w:eastAsia="zh-CN"/>
        </w:rPr>
        <w:t>)</w:t>
      </w: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9"/>
    </w:p>
    <w:p>
      <w:pPr>
        <w:spacing w:line="600" w:lineRule="exact"/>
        <w:ind w:firstLine="642" w:firstLineChars="200"/>
        <w:outlineLvl w:val="1"/>
        <w:rPr>
          <w:rStyle w:val="20"/>
          <w:rFonts w:ascii="仿宋" w:hAnsi="仿宋" w:eastAsia="仿宋"/>
          <w:bCs/>
          <w:color w:val="auto"/>
          <w:sz w:val="32"/>
          <w:szCs w:val="32"/>
          <w:highlight w:val="none"/>
        </w:rPr>
      </w:pPr>
      <w:bookmarkStart w:id="50" w:name="_Toc15377213"/>
      <w:bookmarkStart w:id="51" w:name="_Toc15378460"/>
      <w:bookmarkStart w:id="52" w:name="_Toc8555"/>
      <w:bookmarkStart w:id="53" w:name="_Toc15377444"/>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val="en-US"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1158.61万元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50"/>
      <w:bookmarkEnd w:id="51"/>
      <w:bookmarkEnd w:id="52"/>
      <w:bookmarkEnd w:id="53"/>
    </w:p>
    <w:p>
      <w:pPr>
        <w:spacing w:line="600" w:lineRule="exact"/>
        <w:ind w:firstLine="640" w:firstLineChars="200"/>
        <w:outlineLvl w:val="2"/>
        <w:rPr>
          <w:rStyle w:val="20"/>
          <w:rFonts w:ascii="仿宋" w:hAnsi="仿宋" w:eastAsia="仿宋"/>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仿宋_GB2312" w:hAnsi="仿宋_GB2312" w:eastAsia="仿宋_GB2312" w:cs="仿宋_GB2312"/>
          <w:b w:val="0"/>
          <w:bCs w:val="0"/>
          <w:color w:val="auto"/>
          <w:kern w:val="0"/>
          <w:sz w:val="32"/>
          <w:szCs w:val="32"/>
          <w:highlight w:val="none"/>
        </w:rPr>
        <w:t>一般公共服务支出</w:t>
      </w:r>
      <w:r>
        <w:rPr>
          <w:rFonts w:hint="eastAsia" w:ascii="楷体_GB2312" w:hAnsi="楷体_GB2312" w:eastAsia="楷体_GB2312" w:cs="楷体_GB2312"/>
          <w:b w:val="0"/>
          <w:bCs w:val="0"/>
          <w:color w:val="auto"/>
          <w:sz w:val="32"/>
          <w:szCs w:val="32"/>
          <w:highlight w:val="none"/>
        </w:rPr>
        <w:t>（类）201，支出决算为</w:t>
      </w:r>
      <w:r>
        <w:rPr>
          <w:rFonts w:hint="eastAsia" w:ascii="楷体_GB2312" w:hAnsi="楷体_GB2312" w:eastAsia="楷体_GB2312" w:cs="楷体_GB2312"/>
          <w:b w:val="0"/>
          <w:bCs w:val="0"/>
          <w:color w:val="auto"/>
          <w:sz w:val="32"/>
          <w:szCs w:val="32"/>
          <w:highlight w:val="none"/>
          <w:lang w:val="en-US" w:eastAsia="zh-CN"/>
        </w:rPr>
        <w:t>496.61</w:t>
      </w:r>
      <w:r>
        <w:rPr>
          <w:rFonts w:hint="eastAsia" w:ascii="楷体_GB2312" w:hAnsi="楷体_GB2312" w:eastAsia="楷体_GB2312" w:cs="楷体_GB2312"/>
          <w:b w:val="0"/>
          <w:bCs w:val="0"/>
          <w:color w:val="auto"/>
          <w:sz w:val="32"/>
          <w:szCs w:val="32"/>
          <w:highlight w:val="none"/>
        </w:rPr>
        <w:t>万元，完成预算</w:t>
      </w:r>
      <w:r>
        <w:rPr>
          <w:rStyle w:val="20"/>
          <w:rFonts w:hint="eastAsia" w:ascii="仿宋_GB2312" w:eastAsia="仿宋_GB2312"/>
          <w:b w:val="0"/>
          <w:bCs w:val="0"/>
          <w:color w:val="auto"/>
          <w:sz w:val="32"/>
          <w:szCs w:val="32"/>
          <w:highlight w:val="none"/>
        </w:rPr>
        <w:t>100%，其中：</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1.</w:t>
      </w:r>
      <w:r>
        <w:rPr>
          <w:rStyle w:val="30"/>
          <w:rFonts w:hint="eastAsia"/>
          <w:color w:val="auto"/>
          <w:sz w:val="32"/>
          <w:szCs w:val="32"/>
          <w:highlight w:val="none"/>
        </w:rPr>
        <w:t xml:space="preserve"> </w:t>
      </w:r>
      <w:r>
        <w:rPr>
          <w:rFonts w:hint="eastAsia" w:ascii="仿宋_GB2312" w:hAnsi="仿宋_GB2312" w:eastAsia="仿宋_GB2312" w:cs="仿宋_GB2312"/>
          <w:color w:val="auto"/>
          <w:kern w:val="0"/>
          <w:sz w:val="32"/>
          <w:szCs w:val="32"/>
          <w:highlight w:val="none"/>
        </w:rPr>
        <w:t>一般公共服务支出（类）201政府办公厅（室）及相关机构事务（款）03行政运行（项）01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支出决算为</w:t>
      </w:r>
      <w:r>
        <w:rPr>
          <w:rStyle w:val="20"/>
          <w:rFonts w:hint="eastAsia" w:ascii="仿宋_GB2312" w:eastAsia="仿宋_GB2312"/>
          <w:b w:val="0"/>
          <w:color w:val="auto"/>
          <w:sz w:val="32"/>
          <w:szCs w:val="32"/>
          <w:highlight w:val="none"/>
          <w:lang w:val="en-US" w:eastAsia="zh-CN"/>
        </w:rPr>
        <w:t>207.12</w:t>
      </w:r>
      <w:r>
        <w:rPr>
          <w:rStyle w:val="20"/>
          <w:rFonts w:hint="eastAsia" w:ascii="仿宋_GB2312" w:eastAsia="仿宋_GB2312"/>
          <w:b w:val="0"/>
          <w:color w:val="auto"/>
          <w:sz w:val="32"/>
          <w:szCs w:val="32"/>
          <w:highlight w:val="none"/>
        </w:rPr>
        <w:t>万元，完成预算100%。</w:t>
      </w:r>
    </w:p>
    <w:p>
      <w:pPr>
        <w:spacing w:line="560" w:lineRule="exact"/>
        <w:ind w:firstLine="640"/>
        <w:rPr>
          <w:rStyle w:val="20"/>
          <w:rFonts w:hint="eastAsia"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2、</w:t>
      </w:r>
      <w:r>
        <w:rPr>
          <w:rFonts w:hint="eastAsia" w:ascii="仿宋_GB2312" w:hAnsi="仿宋_GB2312" w:eastAsia="仿宋_GB2312" w:cs="仿宋_GB2312"/>
          <w:color w:val="auto"/>
          <w:kern w:val="0"/>
          <w:sz w:val="32"/>
          <w:szCs w:val="32"/>
          <w:highlight w:val="none"/>
        </w:rPr>
        <w:t>一般公共服务支出</w:t>
      </w:r>
      <w:r>
        <w:rPr>
          <w:rStyle w:val="20"/>
          <w:rFonts w:hint="eastAsia" w:ascii="仿宋_GB2312" w:eastAsia="仿宋_GB2312"/>
          <w:b w:val="0"/>
          <w:color w:val="auto"/>
          <w:sz w:val="32"/>
          <w:szCs w:val="32"/>
          <w:highlight w:val="none"/>
        </w:rPr>
        <w:t>（类）201（款）</w:t>
      </w:r>
      <w:r>
        <w:rPr>
          <w:rFonts w:hint="eastAsia" w:ascii="仿宋_GB2312" w:hAnsi="仿宋_GB2312" w:eastAsia="仿宋_GB2312" w:cs="仿宋_GB2312"/>
          <w:color w:val="auto"/>
          <w:kern w:val="0"/>
          <w:sz w:val="32"/>
          <w:szCs w:val="32"/>
          <w:highlight w:val="none"/>
        </w:rPr>
        <w:t>政府办公厅（室）及相关机构事务（款）</w:t>
      </w:r>
      <w:r>
        <w:rPr>
          <w:rStyle w:val="20"/>
          <w:rFonts w:hint="eastAsia" w:ascii="仿宋_GB2312" w:eastAsia="仿宋_GB2312"/>
          <w:b w:val="0"/>
          <w:color w:val="auto"/>
          <w:sz w:val="32"/>
          <w:szCs w:val="32"/>
          <w:highlight w:val="none"/>
        </w:rPr>
        <w:t>03（项）02一般行政管理事务：支出决算为</w:t>
      </w:r>
      <w:r>
        <w:rPr>
          <w:rStyle w:val="20"/>
          <w:rFonts w:hint="eastAsia" w:ascii="仿宋_GB2312" w:eastAsia="仿宋_GB2312"/>
          <w:b w:val="0"/>
          <w:color w:val="auto"/>
          <w:sz w:val="32"/>
          <w:szCs w:val="32"/>
          <w:highlight w:val="none"/>
          <w:lang w:val="en-US" w:eastAsia="zh-CN"/>
        </w:rPr>
        <w:t>217.61</w:t>
      </w:r>
      <w:r>
        <w:rPr>
          <w:rStyle w:val="20"/>
          <w:rFonts w:hint="eastAsia" w:ascii="仿宋_GB2312" w:eastAsia="仿宋_GB2312"/>
          <w:b w:val="0"/>
          <w:color w:val="auto"/>
          <w:sz w:val="32"/>
          <w:szCs w:val="32"/>
          <w:highlight w:val="none"/>
        </w:rPr>
        <w:t>万元，完成预算100%。</w:t>
      </w:r>
    </w:p>
    <w:p>
      <w:pPr>
        <w:pStyle w:val="17"/>
        <w:ind w:left="0" w:leftChars="0" w:firstLine="640" w:firstLineChars="200"/>
        <w:rPr>
          <w:color w:val="auto"/>
          <w:highlight w:val="none"/>
        </w:rPr>
      </w:pPr>
      <w:r>
        <w:rPr>
          <w:rStyle w:val="20"/>
          <w:rFonts w:hint="eastAsia" w:ascii="仿宋_GB2312" w:eastAsia="仿宋_GB2312"/>
          <w:b w:val="0"/>
          <w:color w:val="auto"/>
          <w:sz w:val="32"/>
          <w:szCs w:val="32"/>
          <w:highlight w:val="none"/>
          <w:lang w:val="en-US" w:eastAsia="zh-CN"/>
        </w:rPr>
        <w:t>3</w:t>
      </w:r>
      <w:r>
        <w:rPr>
          <w:rStyle w:val="20"/>
          <w:rFonts w:hint="eastAsia" w:ascii="仿宋_GB2312" w:eastAsia="仿宋_GB2312"/>
          <w:b w:val="0"/>
          <w:color w:val="auto"/>
          <w:sz w:val="32"/>
          <w:szCs w:val="32"/>
          <w:highlight w:val="none"/>
        </w:rPr>
        <w:t>、</w:t>
      </w:r>
      <w:r>
        <w:rPr>
          <w:rFonts w:hint="eastAsia" w:ascii="仿宋_GB2312" w:hAnsi="仿宋_GB2312" w:eastAsia="仿宋_GB2312" w:cs="仿宋_GB2312"/>
          <w:color w:val="auto"/>
          <w:kern w:val="0"/>
          <w:sz w:val="32"/>
          <w:szCs w:val="32"/>
          <w:highlight w:val="none"/>
        </w:rPr>
        <w:t>一般公共服务支出</w:t>
      </w:r>
      <w:r>
        <w:rPr>
          <w:rStyle w:val="20"/>
          <w:rFonts w:hint="eastAsia" w:ascii="仿宋_GB2312" w:eastAsia="仿宋_GB2312"/>
          <w:b w:val="0"/>
          <w:color w:val="auto"/>
          <w:sz w:val="32"/>
          <w:szCs w:val="32"/>
          <w:highlight w:val="none"/>
        </w:rPr>
        <w:t>（类）201（款）</w:t>
      </w:r>
      <w:r>
        <w:rPr>
          <w:rFonts w:hint="eastAsia" w:ascii="仿宋_GB2312" w:hAnsi="仿宋_GB2312" w:eastAsia="仿宋_GB2312" w:cs="仿宋_GB2312"/>
          <w:color w:val="auto"/>
          <w:kern w:val="0"/>
          <w:sz w:val="32"/>
          <w:szCs w:val="32"/>
          <w:highlight w:val="none"/>
        </w:rPr>
        <w:t>政府办公厅（室）及相关机构事务（款）</w:t>
      </w:r>
      <w:r>
        <w:rPr>
          <w:rStyle w:val="20"/>
          <w:rFonts w:hint="eastAsia" w:ascii="仿宋_GB2312" w:eastAsia="仿宋_GB2312"/>
          <w:b w:val="0"/>
          <w:color w:val="auto"/>
          <w:sz w:val="32"/>
          <w:szCs w:val="32"/>
          <w:highlight w:val="none"/>
        </w:rPr>
        <w:t>03（项）0</w:t>
      </w:r>
      <w:r>
        <w:rPr>
          <w:rStyle w:val="20"/>
          <w:rFonts w:hint="eastAsia" w:ascii="仿宋_GB2312" w:eastAsia="仿宋_GB2312"/>
          <w:b w:val="0"/>
          <w:color w:val="auto"/>
          <w:sz w:val="32"/>
          <w:szCs w:val="32"/>
          <w:highlight w:val="none"/>
          <w:lang w:val="en-US" w:eastAsia="zh-CN"/>
        </w:rPr>
        <w:t>3</w:t>
      </w:r>
      <w:r>
        <w:rPr>
          <w:rStyle w:val="20"/>
          <w:rFonts w:hint="eastAsia" w:ascii="仿宋_GB2312" w:eastAsia="仿宋_GB2312"/>
          <w:b w:val="0"/>
          <w:color w:val="auto"/>
          <w:sz w:val="32"/>
          <w:szCs w:val="32"/>
          <w:highlight w:val="none"/>
          <w:lang w:eastAsia="zh-CN"/>
        </w:rPr>
        <w:t>机关服务</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11.88</w:t>
      </w:r>
      <w:r>
        <w:rPr>
          <w:rStyle w:val="20"/>
          <w:rFonts w:hint="eastAsia" w:ascii="仿宋_GB2312" w:eastAsia="仿宋_GB2312"/>
          <w:b w:val="0"/>
          <w:color w:val="auto"/>
          <w:sz w:val="32"/>
          <w:szCs w:val="32"/>
          <w:highlight w:val="none"/>
        </w:rPr>
        <w:t>万元，完成预算100%。</w:t>
      </w:r>
    </w:p>
    <w:p>
      <w:pPr>
        <w:spacing w:line="560" w:lineRule="exact"/>
        <w:ind w:firstLine="640"/>
        <w:rPr>
          <w:rStyle w:val="20"/>
          <w:rFonts w:hint="eastAsia"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lang w:val="en-US" w:eastAsia="zh-CN"/>
        </w:rPr>
        <w:t>4</w:t>
      </w:r>
      <w:r>
        <w:rPr>
          <w:rStyle w:val="20"/>
          <w:rFonts w:hint="eastAsia" w:ascii="仿宋_GB2312" w:eastAsia="仿宋_GB2312"/>
          <w:b w:val="0"/>
          <w:color w:val="auto"/>
          <w:sz w:val="32"/>
          <w:szCs w:val="32"/>
          <w:highlight w:val="none"/>
        </w:rPr>
        <w:t>、</w:t>
      </w:r>
      <w:r>
        <w:rPr>
          <w:rFonts w:hint="eastAsia" w:ascii="仿宋_GB2312" w:hAnsi="仿宋_GB2312" w:eastAsia="仿宋_GB2312" w:cs="仿宋_GB2312"/>
          <w:color w:val="auto"/>
          <w:kern w:val="0"/>
          <w:sz w:val="32"/>
          <w:szCs w:val="32"/>
          <w:highlight w:val="none"/>
        </w:rPr>
        <w:t>一般公共服务支出</w:t>
      </w:r>
      <w:r>
        <w:rPr>
          <w:rStyle w:val="20"/>
          <w:rFonts w:hint="eastAsia" w:ascii="仿宋_GB2312" w:eastAsia="仿宋_GB2312"/>
          <w:b w:val="0"/>
          <w:color w:val="auto"/>
          <w:sz w:val="32"/>
          <w:szCs w:val="32"/>
          <w:highlight w:val="none"/>
        </w:rPr>
        <w:t>（类）201（款）</w:t>
      </w:r>
      <w:r>
        <w:rPr>
          <w:rFonts w:hint="eastAsia" w:ascii="仿宋_GB2312" w:hAnsi="仿宋_GB2312" w:eastAsia="仿宋_GB2312" w:cs="仿宋_GB2312"/>
          <w:color w:val="auto"/>
          <w:kern w:val="0"/>
          <w:sz w:val="32"/>
          <w:szCs w:val="32"/>
          <w:highlight w:val="none"/>
        </w:rPr>
        <w:t>政府办公厅（室）及相关机构事务（款）</w:t>
      </w:r>
      <w:r>
        <w:rPr>
          <w:rStyle w:val="20"/>
          <w:rFonts w:hint="eastAsia" w:ascii="仿宋_GB2312" w:eastAsia="仿宋_GB2312"/>
          <w:b w:val="0"/>
          <w:color w:val="auto"/>
          <w:sz w:val="32"/>
          <w:szCs w:val="32"/>
          <w:highlight w:val="none"/>
        </w:rPr>
        <w:t>03（项）</w:t>
      </w:r>
      <w:r>
        <w:rPr>
          <w:rStyle w:val="20"/>
          <w:rFonts w:hint="eastAsia" w:ascii="仿宋_GB2312" w:eastAsia="仿宋_GB2312"/>
          <w:b w:val="0"/>
          <w:color w:val="auto"/>
          <w:sz w:val="32"/>
          <w:szCs w:val="32"/>
          <w:highlight w:val="none"/>
          <w:lang w:eastAsia="zh-CN"/>
        </w:rPr>
        <w:t>信访事务</w:t>
      </w:r>
      <w:r>
        <w:rPr>
          <w:rStyle w:val="20"/>
          <w:rFonts w:hint="eastAsia" w:ascii="仿宋_GB2312" w:eastAsia="仿宋_GB2312"/>
          <w:b w:val="0"/>
          <w:color w:val="auto"/>
          <w:sz w:val="32"/>
          <w:szCs w:val="32"/>
          <w:highlight w:val="none"/>
        </w:rPr>
        <w:t>0</w:t>
      </w:r>
      <w:r>
        <w:rPr>
          <w:rStyle w:val="20"/>
          <w:rFonts w:hint="eastAsia" w:ascii="仿宋_GB2312" w:eastAsia="仿宋_GB2312"/>
          <w:b w:val="0"/>
          <w:color w:val="auto"/>
          <w:sz w:val="32"/>
          <w:szCs w:val="32"/>
          <w:highlight w:val="none"/>
          <w:lang w:val="en-US" w:eastAsia="zh-CN"/>
        </w:rPr>
        <w:t>8</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8</w:t>
      </w:r>
      <w:r>
        <w:rPr>
          <w:rStyle w:val="20"/>
          <w:rFonts w:hint="eastAsia" w:ascii="仿宋_GB2312" w:eastAsia="仿宋_GB2312"/>
          <w:b w:val="0"/>
          <w:color w:val="auto"/>
          <w:sz w:val="32"/>
          <w:szCs w:val="32"/>
          <w:highlight w:val="none"/>
        </w:rPr>
        <w:t>万元，完成预算100%。</w:t>
      </w:r>
    </w:p>
    <w:p>
      <w:pPr>
        <w:pStyle w:val="2"/>
        <w:ind w:firstLine="640"/>
        <w:rPr>
          <w:rStyle w:val="20"/>
          <w:rFonts w:hint="eastAsia"/>
          <w:b w:val="0"/>
          <w:color w:val="auto"/>
          <w:sz w:val="32"/>
          <w:szCs w:val="32"/>
          <w:highlight w:val="none"/>
          <w:lang w:val="en-US" w:eastAsia="zh-CN"/>
        </w:rPr>
      </w:pPr>
      <w:r>
        <w:rPr>
          <w:rStyle w:val="20"/>
          <w:rFonts w:hint="eastAsia"/>
          <w:b w:val="0"/>
          <w:color w:val="auto"/>
          <w:sz w:val="32"/>
          <w:szCs w:val="32"/>
          <w:highlight w:val="none"/>
          <w:lang w:val="en-US" w:eastAsia="zh-CN"/>
        </w:rPr>
        <w:t>5、一般公共服务支出（类）201发展与改革事务（款）04日常经济运行调节05（项）：支出决算为7万元，完成预算100%。</w:t>
      </w:r>
    </w:p>
    <w:p>
      <w:pPr>
        <w:spacing w:line="560" w:lineRule="exact"/>
        <w:ind w:firstLine="640"/>
        <w:rPr>
          <w:rStyle w:val="20"/>
          <w:rFonts w:ascii="仿宋_GB2312" w:eastAsia="仿宋_GB2312"/>
          <w:b w:val="0"/>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、一般公共服务（类）201</w:t>
      </w:r>
      <w:r>
        <w:rPr>
          <w:rFonts w:hint="eastAsia" w:ascii="仿宋_GB2312" w:hAnsi="仿宋_GB2312" w:eastAsia="仿宋_GB2312" w:cs="仿宋_GB2312"/>
          <w:color w:val="auto"/>
          <w:kern w:val="0"/>
          <w:sz w:val="32"/>
          <w:szCs w:val="32"/>
          <w:highlight w:val="none"/>
          <w:lang w:eastAsia="zh-CN"/>
        </w:rPr>
        <w:t>党委办公厅（室）及相关机构事务</w:t>
      </w:r>
      <w:r>
        <w:rPr>
          <w:rFonts w:hint="eastAsia" w:ascii="仿宋_GB2312" w:hAnsi="仿宋_GB2312" w:eastAsia="仿宋_GB2312" w:cs="仿宋_GB2312"/>
          <w:color w:val="auto"/>
          <w:kern w:val="0"/>
          <w:sz w:val="32"/>
          <w:szCs w:val="32"/>
          <w:highlight w:val="none"/>
          <w:lang w:val="en-US" w:eastAsia="zh-CN"/>
        </w:rPr>
        <w:t>31</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w:t>
      </w:r>
      <w:r>
        <w:rPr>
          <w:rFonts w:hint="eastAsia" w:ascii="仿宋_GB2312" w:hAnsi="仿宋_GB2312" w:eastAsia="仿宋_GB2312" w:cs="仿宋_GB2312"/>
          <w:color w:val="auto"/>
          <w:kern w:val="0"/>
          <w:sz w:val="32"/>
          <w:szCs w:val="32"/>
          <w:highlight w:val="none"/>
          <w:lang w:eastAsia="zh-CN"/>
        </w:rPr>
        <w:t>党委办公厅（室）及相关机构事务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5</w:t>
      </w:r>
      <w:r>
        <w:rPr>
          <w:rStyle w:val="20"/>
          <w:rFonts w:hint="eastAsia" w:ascii="仿宋_GB2312" w:eastAsia="仿宋_GB2312"/>
          <w:b w:val="0"/>
          <w:color w:val="auto"/>
          <w:sz w:val="32"/>
          <w:szCs w:val="32"/>
          <w:highlight w:val="none"/>
        </w:rPr>
        <w:t>万元，完成预算100%。</w:t>
      </w:r>
    </w:p>
    <w:p>
      <w:pPr>
        <w:spacing w:line="560" w:lineRule="exact"/>
        <w:ind w:firstLine="640"/>
        <w:rPr>
          <w:rStyle w:val="20"/>
          <w:rFonts w:hint="eastAsia"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lang w:val="en-US" w:eastAsia="zh-CN"/>
        </w:rPr>
        <w:t>7</w:t>
      </w:r>
      <w:r>
        <w:rPr>
          <w:rStyle w:val="20"/>
          <w:rFonts w:hint="eastAsia" w:ascii="仿宋_GB2312" w:eastAsia="仿宋_GB2312"/>
          <w:b w:val="0"/>
          <w:color w:val="auto"/>
          <w:sz w:val="32"/>
          <w:szCs w:val="32"/>
          <w:highlight w:val="none"/>
        </w:rPr>
        <w:t>、</w:t>
      </w:r>
      <w:r>
        <w:rPr>
          <w:rFonts w:hint="eastAsia" w:ascii="仿宋_GB2312" w:hAnsi="仿宋_GB2312" w:eastAsia="仿宋_GB2312" w:cs="仿宋_GB2312"/>
          <w:color w:val="auto"/>
          <w:kern w:val="0"/>
          <w:sz w:val="32"/>
          <w:szCs w:val="32"/>
          <w:highlight w:val="none"/>
        </w:rPr>
        <w:t>一般公共服务（类）201</w:t>
      </w:r>
      <w:r>
        <w:rPr>
          <w:rFonts w:hint="eastAsia" w:ascii="仿宋_GB2312" w:eastAsia="仿宋_GB2312"/>
          <w:color w:val="auto"/>
          <w:sz w:val="32"/>
          <w:szCs w:val="32"/>
          <w:highlight w:val="none"/>
        </w:rPr>
        <w:t>其他一般公共服务支出（款）99其他一般公共服务支出（项）99</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40</w:t>
      </w:r>
      <w:r>
        <w:rPr>
          <w:rStyle w:val="20"/>
          <w:rFonts w:hint="eastAsia" w:ascii="仿宋_GB2312" w:eastAsia="仿宋_GB2312"/>
          <w:b w:val="0"/>
          <w:color w:val="auto"/>
          <w:sz w:val="32"/>
          <w:szCs w:val="32"/>
          <w:highlight w:val="none"/>
        </w:rPr>
        <w:t>万元，完成预算100%。</w:t>
      </w:r>
    </w:p>
    <w:p>
      <w:pPr>
        <w:pStyle w:val="17"/>
        <w:rPr>
          <w:color w:val="auto"/>
          <w:highlight w:val="none"/>
        </w:rPr>
      </w:pPr>
    </w:p>
    <w:p>
      <w:pPr>
        <w:spacing w:line="560" w:lineRule="exact"/>
        <w:rPr>
          <w:rStyle w:val="20"/>
          <w:rFonts w:ascii="仿宋_GB2312" w:eastAsia="仿宋_GB2312"/>
          <w:b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仿宋_GB2312" w:hAnsi="仿宋_GB2312" w:eastAsia="仿宋_GB2312" w:cs="仿宋_GB2312"/>
          <w:b w:val="0"/>
          <w:bCs w:val="0"/>
          <w:color w:val="auto"/>
          <w:kern w:val="0"/>
          <w:sz w:val="32"/>
          <w:szCs w:val="32"/>
          <w:highlight w:val="none"/>
        </w:rPr>
        <w:t>二）公共安全支出（类）204，支出决算为</w:t>
      </w:r>
      <w:r>
        <w:rPr>
          <w:rFonts w:hint="eastAsia" w:ascii="仿宋_GB2312" w:hAnsi="仿宋_GB2312" w:eastAsia="仿宋_GB2312" w:cs="仿宋_GB2312"/>
          <w:b w:val="0"/>
          <w:bCs w:val="0"/>
          <w:color w:val="auto"/>
          <w:kern w:val="0"/>
          <w:sz w:val="32"/>
          <w:szCs w:val="32"/>
          <w:highlight w:val="none"/>
          <w:lang w:val="en-US" w:eastAsia="zh-CN"/>
        </w:rPr>
        <w:t>18.5</w:t>
      </w:r>
      <w:r>
        <w:rPr>
          <w:rFonts w:hint="eastAsia" w:ascii="仿宋_GB2312" w:hAnsi="仿宋_GB2312" w:eastAsia="仿宋_GB2312" w:cs="仿宋_GB2312"/>
          <w:b w:val="0"/>
          <w:bCs w:val="0"/>
          <w:color w:val="auto"/>
          <w:kern w:val="0"/>
          <w:sz w:val="32"/>
          <w:szCs w:val="32"/>
          <w:highlight w:val="none"/>
        </w:rPr>
        <w:t>万元，完成预算100%，其中：</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lang w:val="en-US" w:eastAsia="zh-CN"/>
        </w:rPr>
        <w:t>1</w:t>
      </w:r>
      <w:r>
        <w:rPr>
          <w:rStyle w:val="20"/>
          <w:rFonts w:hint="eastAsia" w:ascii="仿宋_GB2312" w:eastAsia="仿宋_GB2312"/>
          <w:b w:val="0"/>
          <w:color w:val="auto"/>
          <w:sz w:val="32"/>
          <w:szCs w:val="32"/>
          <w:highlight w:val="none"/>
        </w:rPr>
        <w:t>、</w:t>
      </w:r>
      <w:r>
        <w:rPr>
          <w:rFonts w:hint="eastAsia" w:ascii="仿宋_GB2312" w:eastAsia="仿宋_GB2312"/>
          <w:color w:val="auto"/>
          <w:sz w:val="32"/>
          <w:szCs w:val="32"/>
          <w:highlight w:val="none"/>
        </w:rPr>
        <w:t>公共安全支出（类）204国家安全（款）03其他国家安全支出（项）99</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18.5</w:t>
      </w:r>
      <w:r>
        <w:rPr>
          <w:rStyle w:val="20"/>
          <w:rFonts w:hint="eastAsia" w:ascii="仿宋_GB2312" w:eastAsia="仿宋_GB2312"/>
          <w:b w:val="0"/>
          <w:color w:val="auto"/>
          <w:sz w:val="32"/>
          <w:szCs w:val="32"/>
          <w:highlight w:val="none"/>
        </w:rPr>
        <w:t>万元，完成预算100%。</w:t>
      </w:r>
    </w:p>
    <w:p>
      <w:pPr>
        <w:spacing w:line="560" w:lineRule="exact"/>
        <w:rPr>
          <w:rStyle w:val="20"/>
          <w:rFonts w:hint="eastAsia" w:ascii="仿宋_GB2312" w:eastAsia="仿宋_GB2312"/>
          <w:b w:val="0"/>
          <w:color w:val="auto"/>
          <w:sz w:val="32"/>
          <w:szCs w:val="32"/>
          <w:highlight w:val="none"/>
        </w:rPr>
      </w:pPr>
      <w:r>
        <w:rPr>
          <w:rFonts w:hint="eastAsia" w:ascii="楷体_GB2312" w:hAnsi="楷体_GB2312" w:eastAsia="楷体_GB2312" w:cs="楷体_GB2312"/>
          <w:color w:val="auto"/>
          <w:sz w:val="32"/>
          <w:szCs w:val="32"/>
          <w:highlight w:val="none"/>
        </w:rPr>
        <w:t>（</w:t>
      </w:r>
      <w:r>
        <w:rPr>
          <w:rStyle w:val="20"/>
          <w:rFonts w:hint="eastAsia" w:ascii="仿宋_GB2312" w:eastAsia="仿宋_GB2312"/>
          <w:b w:val="0"/>
          <w:color w:val="auto"/>
          <w:sz w:val="32"/>
          <w:szCs w:val="32"/>
          <w:highlight w:val="none"/>
        </w:rPr>
        <w:t>三）社会保障和就业支出（类）208，支出决算为</w:t>
      </w:r>
      <w:r>
        <w:rPr>
          <w:rStyle w:val="20"/>
          <w:rFonts w:hint="eastAsia" w:ascii="仿宋_GB2312" w:eastAsia="仿宋_GB2312"/>
          <w:b w:val="0"/>
          <w:color w:val="auto"/>
          <w:sz w:val="32"/>
          <w:szCs w:val="32"/>
          <w:highlight w:val="none"/>
          <w:lang w:val="en-US" w:eastAsia="zh-CN"/>
        </w:rPr>
        <w:t>34.66</w:t>
      </w:r>
      <w:r>
        <w:rPr>
          <w:rStyle w:val="20"/>
          <w:rFonts w:hint="eastAsia" w:ascii="仿宋_GB2312" w:eastAsia="仿宋_GB2312"/>
          <w:b w:val="0"/>
          <w:color w:val="auto"/>
          <w:sz w:val="32"/>
          <w:szCs w:val="32"/>
          <w:highlight w:val="none"/>
        </w:rPr>
        <w:t>万元，完成预算100%，其中：</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1、</w:t>
      </w:r>
      <w:r>
        <w:rPr>
          <w:rFonts w:hint="eastAsia" w:ascii="仿宋_GB2312" w:eastAsia="仿宋_GB2312"/>
          <w:color w:val="auto"/>
          <w:sz w:val="32"/>
          <w:szCs w:val="32"/>
          <w:highlight w:val="none"/>
        </w:rPr>
        <w:t>社会保障和就业支出（类）208行政事业单位离退休（款）05机关事业单位基本养老保险缴费支出（项）05</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21.43</w:t>
      </w:r>
      <w:r>
        <w:rPr>
          <w:rStyle w:val="20"/>
          <w:rFonts w:hint="eastAsia" w:ascii="仿宋_GB2312" w:eastAsia="仿宋_GB2312"/>
          <w:b w:val="0"/>
          <w:color w:val="auto"/>
          <w:sz w:val="32"/>
          <w:szCs w:val="32"/>
          <w:highlight w:val="none"/>
        </w:rPr>
        <w:t>万元，完成预算100%。</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2、</w:t>
      </w:r>
      <w:r>
        <w:rPr>
          <w:rFonts w:hint="eastAsia" w:ascii="仿宋_GB2312" w:eastAsia="仿宋_GB2312"/>
          <w:color w:val="auto"/>
          <w:sz w:val="32"/>
          <w:szCs w:val="32"/>
          <w:highlight w:val="none"/>
        </w:rPr>
        <w:t>社会保障和就业支出（类）208行政事业单位离退休（款）05机关事业单位职业年金缴费支出（项）06</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10.71</w:t>
      </w:r>
      <w:r>
        <w:rPr>
          <w:rStyle w:val="20"/>
          <w:rFonts w:hint="eastAsia" w:ascii="仿宋_GB2312" w:eastAsia="仿宋_GB2312"/>
          <w:b w:val="0"/>
          <w:color w:val="auto"/>
          <w:sz w:val="32"/>
          <w:szCs w:val="32"/>
          <w:highlight w:val="none"/>
        </w:rPr>
        <w:t>万元，完成预算100%。</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3、</w:t>
      </w:r>
      <w:r>
        <w:rPr>
          <w:rFonts w:hint="eastAsia" w:ascii="仿宋_GB2312" w:eastAsia="仿宋_GB2312"/>
          <w:color w:val="auto"/>
          <w:sz w:val="32"/>
          <w:szCs w:val="32"/>
          <w:highlight w:val="none"/>
        </w:rPr>
        <w:t>社会保障和就业支出（类）208行政事业单位离退休（款）05行政单位离退休（项）01</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2.52</w:t>
      </w:r>
      <w:r>
        <w:rPr>
          <w:rStyle w:val="20"/>
          <w:rFonts w:hint="eastAsia" w:ascii="仿宋_GB2312" w:eastAsia="仿宋_GB2312"/>
          <w:b w:val="0"/>
          <w:color w:val="auto"/>
          <w:sz w:val="32"/>
          <w:szCs w:val="32"/>
          <w:highlight w:val="none"/>
        </w:rPr>
        <w:t>万元，完成预算100%。</w:t>
      </w:r>
    </w:p>
    <w:p>
      <w:pPr>
        <w:spacing w:line="560" w:lineRule="exact"/>
        <w:ind w:firstLine="640"/>
        <w:rPr>
          <w:rStyle w:val="20"/>
          <w:rFonts w:hint="eastAsia"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（四）卫生健康支出（类）210，支出决算为</w:t>
      </w:r>
      <w:r>
        <w:rPr>
          <w:rStyle w:val="20"/>
          <w:rFonts w:hint="eastAsia" w:ascii="仿宋_GB2312" w:eastAsia="仿宋_GB2312"/>
          <w:b w:val="0"/>
          <w:color w:val="auto"/>
          <w:sz w:val="32"/>
          <w:szCs w:val="32"/>
          <w:highlight w:val="none"/>
          <w:lang w:val="en-US" w:eastAsia="zh-CN"/>
        </w:rPr>
        <w:t>10.71</w:t>
      </w:r>
      <w:r>
        <w:rPr>
          <w:rStyle w:val="20"/>
          <w:rFonts w:hint="eastAsia" w:ascii="仿宋_GB2312" w:eastAsia="仿宋_GB2312"/>
          <w:b w:val="0"/>
          <w:color w:val="auto"/>
          <w:sz w:val="32"/>
          <w:szCs w:val="32"/>
          <w:highlight w:val="none"/>
        </w:rPr>
        <w:t>万元，完成预算100%，其中：</w:t>
      </w:r>
    </w:p>
    <w:p>
      <w:pPr>
        <w:spacing w:line="560" w:lineRule="exact"/>
        <w:ind w:firstLine="640"/>
        <w:rPr>
          <w:rStyle w:val="20"/>
          <w:rFonts w:hint="eastAsia" w:ascii="仿宋_GB2312" w:eastAsia="仿宋_GB2312"/>
          <w:b w:val="0"/>
          <w:color w:val="auto"/>
          <w:sz w:val="32"/>
          <w:szCs w:val="32"/>
          <w:highlight w:val="none"/>
          <w:lang w:val="en-US" w:eastAsia="zh-CN"/>
        </w:rPr>
      </w:pPr>
      <w:r>
        <w:rPr>
          <w:rStyle w:val="20"/>
          <w:rFonts w:hint="eastAsia" w:ascii="仿宋_GB2312" w:eastAsia="仿宋_GB2312"/>
          <w:b w:val="0"/>
          <w:color w:val="auto"/>
          <w:sz w:val="32"/>
          <w:szCs w:val="32"/>
          <w:highlight w:val="none"/>
        </w:rPr>
        <w:t>1、卫生健康支出（类）210行政事业单位医疗11（款）行政单位医疗（项）01：支出决算为</w:t>
      </w:r>
      <w:r>
        <w:rPr>
          <w:rStyle w:val="20"/>
          <w:rFonts w:hint="eastAsia" w:ascii="仿宋_GB2312" w:eastAsia="仿宋_GB2312"/>
          <w:b w:val="0"/>
          <w:color w:val="auto"/>
          <w:sz w:val="32"/>
          <w:szCs w:val="32"/>
          <w:highlight w:val="none"/>
          <w:lang w:val="en-US" w:eastAsia="zh-CN"/>
        </w:rPr>
        <w:t>10.71</w:t>
      </w:r>
      <w:r>
        <w:rPr>
          <w:rStyle w:val="20"/>
          <w:rFonts w:hint="eastAsia" w:ascii="仿宋_GB2312" w:eastAsia="仿宋_GB2312"/>
          <w:b w:val="0"/>
          <w:color w:val="auto"/>
          <w:sz w:val="32"/>
          <w:szCs w:val="32"/>
          <w:highlight w:val="none"/>
        </w:rPr>
        <w:t>元，完成预算100%</w:t>
      </w:r>
      <w:r>
        <w:rPr>
          <w:rStyle w:val="20"/>
          <w:rFonts w:hint="eastAsia" w:ascii="仿宋_GB2312" w:eastAsia="仿宋_GB2312"/>
          <w:b w:val="0"/>
          <w:color w:val="auto"/>
          <w:sz w:val="32"/>
          <w:szCs w:val="32"/>
          <w:highlight w:val="none"/>
          <w:lang w:val="en-US" w:eastAsia="zh-CN"/>
        </w:rPr>
        <w:t>。</w:t>
      </w:r>
    </w:p>
    <w:p>
      <w:pPr>
        <w:spacing w:line="560" w:lineRule="exact"/>
        <w:ind w:firstLine="320" w:firstLineChars="1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（五）城乡社区支出（类）212，支出决算为</w:t>
      </w:r>
      <w:r>
        <w:rPr>
          <w:rFonts w:hint="eastAsia" w:ascii="楷体_GB2312" w:hAnsi="楷体_GB2312" w:eastAsia="楷体_GB2312" w:cs="楷体_GB2312"/>
          <w:color w:val="auto"/>
          <w:sz w:val="32"/>
          <w:szCs w:val="32"/>
          <w:highlight w:val="none"/>
          <w:lang w:val="en-US" w:eastAsia="zh-CN"/>
        </w:rPr>
        <w:t>10</w:t>
      </w:r>
      <w:r>
        <w:rPr>
          <w:rFonts w:hint="eastAsia" w:ascii="楷体_GB2312" w:hAnsi="楷体_GB2312" w:eastAsia="楷体_GB2312" w:cs="楷体_GB2312"/>
          <w:color w:val="auto"/>
          <w:sz w:val="32"/>
          <w:szCs w:val="32"/>
          <w:highlight w:val="none"/>
        </w:rPr>
        <w:t>万元，完成预算100%，其中：</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lang w:val="en-US" w:eastAsia="zh-CN"/>
        </w:rPr>
        <w:t>1</w:t>
      </w:r>
      <w:r>
        <w:rPr>
          <w:rStyle w:val="20"/>
          <w:rFonts w:hint="eastAsia" w:ascii="仿宋_GB2312" w:eastAsia="仿宋_GB2312"/>
          <w:b w:val="0"/>
          <w:color w:val="auto"/>
          <w:sz w:val="32"/>
          <w:szCs w:val="32"/>
          <w:highlight w:val="none"/>
        </w:rPr>
        <w:t>、</w:t>
      </w:r>
      <w:r>
        <w:rPr>
          <w:rFonts w:hint="eastAsia" w:ascii="仿宋_GB2312" w:eastAsia="仿宋_GB2312"/>
          <w:color w:val="auto"/>
          <w:sz w:val="32"/>
          <w:szCs w:val="32"/>
          <w:highlight w:val="none"/>
        </w:rPr>
        <w:t>城乡社区支出（类）212城乡社区环境卫生（款）05城乡社区环境卫生（项）01</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10</w:t>
      </w:r>
      <w:r>
        <w:rPr>
          <w:rStyle w:val="20"/>
          <w:rFonts w:hint="eastAsia" w:ascii="仿宋_GB2312" w:eastAsia="仿宋_GB2312"/>
          <w:b w:val="0"/>
          <w:color w:val="auto"/>
          <w:sz w:val="32"/>
          <w:szCs w:val="32"/>
          <w:highlight w:val="none"/>
        </w:rPr>
        <w:t>万元，完成预算100%。</w:t>
      </w:r>
    </w:p>
    <w:p>
      <w:pPr>
        <w:spacing w:line="560" w:lineRule="exact"/>
        <w:ind w:firstLine="320" w:firstLineChars="1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（六）农林水支出（类）213，支出决算为</w:t>
      </w:r>
      <w:r>
        <w:rPr>
          <w:rFonts w:hint="eastAsia" w:ascii="楷体_GB2312" w:hAnsi="楷体_GB2312" w:eastAsia="楷体_GB2312" w:cs="楷体_GB2312"/>
          <w:color w:val="auto"/>
          <w:sz w:val="32"/>
          <w:szCs w:val="32"/>
          <w:highlight w:val="none"/>
          <w:lang w:val="en-US" w:eastAsia="zh-CN"/>
        </w:rPr>
        <w:t>561.38</w:t>
      </w:r>
      <w:r>
        <w:rPr>
          <w:rFonts w:hint="eastAsia" w:ascii="楷体_GB2312" w:hAnsi="楷体_GB2312" w:eastAsia="楷体_GB2312" w:cs="楷体_GB2312"/>
          <w:color w:val="auto"/>
          <w:sz w:val="32"/>
          <w:szCs w:val="32"/>
          <w:highlight w:val="none"/>
        </w:rPr>
        <w:t>万元，完成预算100%，其中：</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1、</w:t>
      </w:r>
      <w:r>
        <w:rPr>
          <w:rFonts w:hint="eastAsia" w:ascii="仿宋_GB2312" w:eastAsia="仿宋_GB2312"/>
          <w:color w:val="auto"/>
          <w:sz w:val="32"/>
          <w:szCs w:val="32"/>
          <w:highlight w:val="none"/>
        </w:rPr>
        <w:t>农林水支出（类）213农业（款）01病虫害控制（项）08</w:t>
      </w:r>
      <w:r>
        <w:rPr>
          <w:rStyle w:val="20"/>
          <w:rFonts w:hint="eastAsia" w:ascii="仿宋_GB2312" w:eastAsia="仿宋_GB2312"/>
          <w:b w:val="0"/>
          <w:color w:val="auto"/>
          <w:sz w:val="32"/>
          <w:szCs w:val="32"/>
          <w:highlight w:val="none"/>
        </w:rPr>
        <w:t>：支出决算为1万元，完成预算100%。</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2、</w:t>
      </w:r>
      <w:r>
        <w:rPr>
          <w:rFonts w:hint="eastAsia" w:ascii="仿宋_GB2312" w:eastAsia="仿宋_GB2312"/>
          <w:color w:val="auto"/>
          <w:sz w:val="32"/>
          <w:szCs w:val="32"/>
          <w:highlight w:val="none"/>
        </w:rPr>
        <w:t>农林水支出（类）213林业（款）02林业防灾减灾（项）34</w:t>
      </w:r>
      <w:r>
        <w:rPr>
          <w:rStyle w:val="20"/>
          <w:rFonts w:hint="eastAsia" w:ascii="仿宋_GB2312" w:eastAsia="仿宋_GB2312"/>
          <w:b w:val="0"/>
          <w:color w:val="auto"/>
          <w:sz w:val="32"/>
          <w:szCs w:val="32"/>
          <w:highlight w:val="none"/>
        </w:rPr>
        <w:t>：支出决算为2万元，完成预算100%。</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3、</w:t>
      </w:r>
      <w:r>
        <w:rPr>
          <w:rFonts w:hint="eastAsia" w:ascii="仿宋_GB2312" w:eastAsia="仿宋_GB2312"/>
          <w:color w:val="auto"/>
          <w:sz w:val="32"/>
          <w:szCs w:val="32"/>
          <w:highlight w:val="none"/>
        </w:rPr>
        <w:t>农林水支出（类）213水利（款）03防汛（项）14</w:t>
      </w:r>
      <w:r>
        <w:rPr>
          <w:rStyle w:val="20"/>
          <w:rFonts w:hint="eastAsia" w:ascii="仿宋_GB2312" w:eastAsia="仿宋_GB2312"/>
          <w:b w:val="0"/>
          <w:color w:val="auto"/>
          <w:sz w:val="32"/>
          <w:szCs w:val="32"/>
          <w:highlight w:val="none"/>
        </w:rPr>
        <w:t>：支出决算为1万元，完成预算100%。</w:t>
      </w:r>
    </w:p>
    <w:p>
      <w:pPr>
        <w:spacing w:line="560" w:lineRule="exact"/>
        <w:ind w:firstLine="64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4、</w:t>
      </w:r>
      <w:r>
        <w:rPr>
          <w:rFonts w:hint="eastAsia" w:ascii="仿宋_GB2312" w:eastAsia="仿宋_GB2312"/>
          <w:color w:val="auto"/>
          <w:sz w:val="32"/>
          <w:szCs w:val="32"/>
          <w:highlight w:val="none"/>
        </w:rPr>
        <w:t>农林水支出（类）213农村综合改革（款）07对村民委员会和村党支部的补助（项）05</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557.38</w:t>
      </w:r>
      <w:r>
        <w:rPr>
          <w:rStyle w:val="20"/>
          <w:rFonts w:hint="eastAsia" w:ascii="仿宋_GB2312" w:eastAsia="仿宋_GB2312"/>
          <w:b w:val="0"/>
          <w:color w:val="auto"/>
          <w:sz w:val="32"/>
          <w:szCs w:val="32"/>
          <w:highlight w:val="none"/>
        </w:rPr>
        <w:t>万元，完成预算100%。</w:t>
      </w:r>
    </w:p>
    <w:p>
      <w:pPr>
        <w:spacing w:line="560" w:lineRule="exact"/>
        <w:ind w:firstLine="320" w:firstLineChars="100"/>
        <w:rPr>
          <w:rStyle w:val="20"/>
          <w:rFonts w:ascii="仿宋_GB2312" w:eastAsia="仿宋_GB2312"/>
          <w:b w:val="0"/>
          <w:color w:val="auto"/>
          <w:sz w:val="32"/>
          <w:szCs w:val="32"/>
          <w:highlight w:val="none"/>
        </w:rPr>
      </w:pPr>
      <w:r>
        <w:rPr>
          <w:rFonts w:hint="eastAsia" w:ascii="楷体_GB2312" w:hAnsi="楷体_GB2312" w:eastAsia="楷体_GB2312" w:cs="楷体_GB2312"/>
          <w:color w:val="auto"/>
          <w:sz w:val="32"/>
          <w:szCs w:val="32"/>
          <w:highlight w:val="none"/>
        </w:rPr>
        <w:t>（七）交通运输支出（类）214，支出决算为</w:t>
      </w:r>
      <w:r>
        <w:rPr>
          <w:rFonts w:hint="eastAsia" w:ascii="楷体_GB2312" w:hAnsi="楷体_GB2312" w:eastAsia="楷体_GB2312" w:cs="楷体_GB2312"/>
          <w:color w:val="auto"/>
          <w:sz w:val="32"/>
          <w:szCs w:val="32"/>
          <w:highlight w:val="none"/>
          <w:lang w:val="en-US" w:eastAsia="zh-CN"/>
        </w:rPr>
        <w:t>3</w:t>
      </w:r>
      <w:r>
        <w:rPr>
          <w:rFonts w:hint="eastAsia" w:ascii="楷体_GB2312" w:hAnsi="楷体_GB2312" w:eastAsia="楷体_GB2312" w:cs="楷体_GB2312"/>
          <w:color w:val="auto"/>
          <w:sz w:val="32"/>
          <w:szCs w:val="32"/>
          <w:highlight w:val="none"/>
        </w:rPr>
        <w:t>万元，完成预算</w:t>
      </w:r>
      <w:r>
        <w:rPr>
          <w:rStyle w:val="20"/>
          <w:rFonts w:hint="eastAsia" w:ascii="仿宋_GB2312" w:eastAsia="仿宋_GB2312"/>
          <w:b w:val="0"/>
          <w:color w:val="auto"/>
          <w:sz w:val="32"/>
          <w:szCs w:val="32"/>
          <w:highlight w:val="none"/>
        </w:rPr>
        <w:t>100%，其中：</w:t>
      </w:r>
    </w:p>
    <w:p>
      <w:pPr>
        <w:spacing w:line="560" w:lineRule="exact"/>
        <w:ind w:firstLine="480" w:firstLineChars="150"/>
        <w:rPr>
          <w:rFonts w:hint="eastAsia" w:ascii="仿宋_GB2312" w:eastAsia="仿宋_GB2312"/>
          <w:color w:val="auto"/>
          <w:sz w:val="32"/>
          <w:szCs w:val="32"/>
          <w:highlight w:val="none"/>
        </w:rPr>
      </w:pPr>
      <w:r>
        <w:rPr>
          <w:rStyle w:val="20"/>
          <w:rFonts w:hint="eastAsia" w:ascii="仿宋_GB2312" w:eastAsia="仿宋_GB2312"/>
          <w:b w:val="0"/>
          <w:color w:val="auto"/>
          <w:sz w:val="32"/>
          <w:szCs w:val="32"/>
          <w:highlight w:val="none"/>
        </w:rPr>
        <w:t>1、</w:t>
      </w:r>
      <w:r>
        <w:rPr>
          <w:rFonts w:hint="eastAsia" w:ascii="仿宋_GB2312" w:eastAsia="仿宋_GB2312"/>
          <w:color w:val="auto"/>
          <w:sz w:val="32"/>
          <w:szCs w:val="32"/>
          <w:highlight w:val="none"/>
        </w:rPr>
        <w:t>交通运输支出（类）214公路水路运输（款）01公路和运输安全（项）10：支出决算为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万元，完成预算100%。</w:t>
      </w:r>
    </w:p>
    <w:p>
      <w:pPr>
        <w:spacing w:line="560" w:lineRule="exact"/>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w:t>
      </w:r>
      <w:r>
        <w:rPr>
          <w:rFonts w:hint="eastAsia" w:ascii="仿宋_GB2312" w:eastAsia="仿宋_GB2312"/>
          <w:color w:val="auto"/>
          <w:sz w:val="32"/>
          <w:szCs w:val="32"/>
          <w:highlight w:val="none"/>
          <w:lang w:eastAsia="zh-CN"/>
        </w:rPr>
        <w:t>节能环保支出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211</w:t>
      </w:r>
      <w:r>
        <w:rPr>
          <w:rFonts w:hint="eastAsia" w:ascii="仿宋_GB2312" w:eastAsia="仿宋_GB2312"/>
          <w:color w:val="auto"/>
          <w:sz w:val="32"/>
          <w:szCs w:val="32"/>
          <w:highlight w:val="none"/>
        </w:rPr>
        <w:t>，支出决算为</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万元，完成预算100%，其中：</w:t>
      </w:r>
    </w:p>
    <w:p>
      <w:pPr>
        <w:spacing w:line="560" w:lineRule="exact"/>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eastAsia="zh-CN"/>
        </w:rPr>
        <w:t>节能环保支出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211</w:t>
      </w:r>
      <w:r>
        <w:rPr>
          <w:rFonts w:hint="eastAsia" w:ascii="仿宋_GB2312" w:eastAsia="仿宋_GB2312"/>
          <w:color w:val="auto"/>
          <w:sz w:val="32"/>
          <w:szCs w:val="32"/>
          <w:highlight w:val="none"/>
          <w:lang w:eastAsia="zh-CN"/>
        </w:rPr>
        <w:t>环境保护管理事务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01其他</w:t>
      </w:r>
      <w:r>
        <w:rPr>
          <w:rFonts w:hint="eastAsia" w:ascii="仿宋_GB2312" w:eastAsia="仿宋_GB2312"/>
          <w:color w:val="auto"/>
          <w:sz w:val="32"/>
          <w:szCs w:val="32"/>
          <w:highlight w:val="none"/>
          <w:lang w:eastAsia="zh-CN"/>
        </w:rPr>
        <w:t>环境保护管理事务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：支出决算为</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万元，完成预算100%。</w:t>
      </w:r>
    </w:p>
    <w:p>
      <w:pPr>
        <w:spacing w:line="560" w:lineRule="exact"/>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（九）住房保障支出（类）221，支出决算为</w:t>
      </w:r>
      <w:r>
        <w:rPr>
          <w:rFonts w:hint="eastAsia" w:ascii="仿宋_GB2312" w:eastAsia="仿宋_GB2312"/>
          <w:color w:val="auto"/>
          <w:sz w:val="32"/>
          <w:szCs w:val="32"/>
          <w:highlight w:val="none"/>
          <w:lang w:val="en-US" w:eastAsia="zh-CN"/>
        </w:rPr>
        <w:t>18.74</w:t>
      </w:r>
      <w:r>
        <w:rPr>
          <w:rFonts w:hint="eastAsia" w:ascii="仿宋_GB2312" w:eastAsia="仿宋_GB2312"/>
          <w:color w:val="auto"/>
          <w:sz w:val="32"/>
          <w:szCs w:val="32"/>
          <w:highlight w:val="none"/>
        </w:rPr>
        <w:t>万元，完成预算100%，其中：</w:t>
      </w:r>
    </w:p>
    <w:p>
      <w:pPr>
        <w:spacing w:line="560" w:lineRule="exact"/>
        <w:ind w:firstLine="480" w:firstLineChars="150"/>
        <w:rPr>
          <w:rStyle w:val="20"/>
          <w:rFonts w:ascii="仿宋_GB2312" w:eastAsia="仿宋_GB2312"/>
          <w:b w:val="0"/>
          <w:color w:val="auto"/>
          <w:sz w:val="32"/>
          <w:szCs w:val="32"/>
          <w:highlight w:val="none"/>
        </w:rPr>
      </w:pPr>
      <w:r>
        <w:rPr>
          <w:rStyle w:val="20"/>
          <w:rFonts w:hint="eastAsia" w:ascii="仿宋_GB2312" w:eastAsia="仿宋_GB2312"/>
          <w:b w:val="0"/>
          <w:color w:val="auto"/>
          <w:sz w:val="32"/>
          <w:szCs w:val="32"/>
          <w:highlight w:val="none"/>
        </w:rPr>
        <w:t>1、</w:t>
      </w:r>
      <w:r>
        <w:rPr>
          <w:rFonts w:hint="eastAsia" w:ascii="仿宋_GB2312" w:eastAsia="仿宋_GB2312"/>
          <w:color w:val="auto"/>
          <w:sz w:val="32"/>
          <w:szCs w:val="32"/>
          <w:highlight w:val="none"/>
        </w:rPr>
        <w:t>住房保障支出（类）221住房改革支出（款）02住房公积金（项）01</w:t>
      </w:r>
      <w:r>
        <w:rPr>
          <w:rStyle w:val="20"/>
          <w:rFonts w:hint="eastAsia" w:ascii="仿宋_GB2312" w:eastAsia="仿宋_GB2312"/>
          <w:b w:val="0"/>
          <w:color w:val="auto"/>
          <w:sz w:val="32"/>
          <w:szCs w:val="32"/>
          <w:highlight w:val="none"/>
        </w:rPr>
        <w:t>：支出决算为</w:t>
      </w:r>
      <w:r>
        <w:rPr>
          <w:rStyle w:val="20"/>
          <w:rFonts w:hint="eastAsia" w:ascii="仿宋_GB2312" w:eastAsia="仿宋_GB2312"/>
          <w:b w:val="0"/>
          <w:color w:val="auto"/>
          <w:sz w:val="32"/>
          <w:szCs w:val="32"/>
          <w:highlight w:val="none"/>
          <w:lang w:val="en-US" w:eastAsia="zh-CN"/>
        </w:rPr>
        <w:t>18.74</w:t>
      </w:r>
      <w:r>
        <w:rPr>
          <w:rStyle w:val="20"/>
          <w:rFonts w:hint="eastAsia" w:ascii="仿宋_GB2312" w:eastAsia="仿宋_GB2312"/>
          <w:b w:val="0"/>
          <w:color w:val="auto"/>
          <w:sz w:val="32"/>
          <w:szCs w:val="32"/>
          <w:highlight w:val="none"/>
        </w:rPr>
        <w:t>万元，完成预算100%。</w:t>
      </w:r>
    </w:p>
    <w:p>
      <w:pPr>
        <w:tabs>
          <w:tab w:val="right" w:pos="8306"/>
        </w:tabs>
        <w:spacing w:line="600" w:lineRule="exact"/>
        <w:outlineLvl w:val="1"/>
        <w:rPr>
          <w:rStyle w:val="23"/>
          <w:color w:val="auto"/>
          <w:highlight w:val="none"/>
        </w:rPr>
      </w:pPr>
      <w:bookmarkStart w:id="54" w:name="_Toc15163"/>
      <w:bookmarkStart w:id="55" w:name="_Toc15377214"/>
      <w:bookmarkStart w:id="56"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般公共预算财政拨款基本支出决算情况说明</w:t>
      </w:r>
      <w:bookmarkEnd w:id="54"/>
      <w:bookmarkEnd w:id="55"/>
      <w:bookmarkEnd w:id="56"/>
      <w:r>
        <w:rPr>
          <w:rStyle w:val="23"/>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b/>
          <w:bCs/>
          <w:color w:val="auto"/>
          <w:sz w:val="32"/>
          <w:szCs w:val="32"/>
          <w:highlight w:val="none"/>
        </w:rPr>
        <w:t>202</w:t>
      </w: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年一般公共预算财政拨款基本支出</w:t>
      </w:r>
      <w:r>
        <w:rPr>
          <w:rFonts w:hint="eastAsia" w:ascii="仿宋_GB2312" w:hAnsi="仿宋_GB2312" w:eastAsia="仿宋_GB2312" w:cs="仿宋_GB2312"/>
          <w:b/>
          <w:bCs/>
          <w:color w:val="auto"/>
          <w:sz w:val="32"/>
          <w:szCs w:val="32"/>
          <w:highlight w:val="none"/>
          <w:lang w:val="en-US" w:eastAsia="zh-CN"/>
        </w:rPr>
        <w:t>271.24</w:t>
      </w:r>
      <w:r>
        <w:rPr>
          <w:rFonts w:hint="eastAsia" w:ascii="仿宋" w:hAnsi="仿宋" w:eastAsia="仿宋"/>
          <w:b/>
          <w:bCs/>
          <w:color w:val="auto"/>
          <w:sz w:val="32"/>
          <w:szCs w:val="32"/>
          <w:highlight w:val="none"/>
        </w:rPr>
        <w:t>万元，其中：</w:t>
      </w:r>
    </w:p>
    <w:p>
      <w:pPr>
        <w:spacing w:line="600" w:lineRule="exact"/>
        <w:ind w:firstLine="645"/>
        <w:rPr>
          <w:rFonts w:ascii="黑体" w:eastAsia="黑体"/>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227.12</w:t>
      </w:r>
      <w:r>
        <w:rPr>
          <w:rFonts w:hint="eastAsia" w:ascii="仿宋" w:hAnsi="仿宋" w:eastAsia="仿宋"/>
          <w:color w:val="auto"/>
          <w:sz w:val="32"/>
          <w:szCs w:val="32"/>
          <w:highlight w:val="none"/>
        </w:rPr>
        <w:t>万元，主要包括：基本工资、津贴补贴、奖金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其他社会保障缴费、住房公积金、其他工资福利支出、生活补助。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44.12</w:t>
      </w:r>
      <w:r>
        <w:rPr>
          <w:rFonts w:hint="eastAsia" w:ascii="仿宋" w:hAnsi="仿宋" w:eastAsia="仿宋"/>
          <w:color w:val="auto"/>
          <w:sz w:val="32"/>
          <w:szCs w:val="32"/>
          <w:highlight w:val="none"/>
        </w:rPr>
        <w:t>元，主要包括：办公费、印刷费、电费、邮电费、差旅费、维修（护）费、培训费、劳务费、工会经费、福利费、其他交通费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、税金及附加费用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bookmarkStart w:id="57" w:name="_Toc15377215"/>
      <w:bookmarkStart w:id="58" w:name="_Toc15396609"/>
    </w:p>
    <w:p>
      <w:pPr>
        <w:spacing w:line="600" w:lineRule="exact"/>
        <w:ind w:firstLine="640"/>
        <w:outlineLvl w:val="1"/>
        <w:rPr>
          <w:rStyle w:val="23"/>
          <w:rFonts w:ascii="黑体" w:hAnsi="黑体" w:eastAsia="黑体"/>
          <w:b w:val="0"/>
          <w:color w:val="auto"/>
          <w:highlight w:val="none"/>
        </w:rPr>
      </w:pPr>
      <w:bookmarkStart w:id="59" w:name="_Toc12981"/>
      <w:r>
        <w:rPr>
          <w:rFonts w:hint="eastAsia" w:ascii="黑体" w:eastAsia="黑体"/>
          <w:color w:val="auto"/>
          <w:sz w:val="32"/>
          <w:szCs w:val="32"/>
          <w:highlight w:val="none"/>
        </w:rPr>
        <w:t>七、</w:t>
      </w:r>
      <w:r>
        <w:rPr>
          <w:rStyle w:val="23"/>
          <w:rFonts w:hint="eastAsia" w:ascii="黑体" w:hAnsi="黑体" w:eastAsia="黑体"/>
          <w:color w:val="auto"/>
          <w:highlight w:val="none"/>
        </w:rPr>
        <w:t>“</w:t>
      </w:r>
      <w:r>
        <w:rPr>
          <w:rStyle w:val="23"/>
          <w:rFonts w:hint="eastAsia" w:ascii="黑体" w:hAnsi="黑体" w:eastAsia="黑体"/>
          <w:b w:val="0"/>
          <w:color w:val="auto"/>
          <w:highlight w:val="none"/>
        </w:rPr>
        <w:t>三公”经费财政拨款支出决算情况说明</w:t>
      </w:r>
      <w:bookmarkEnd w:id="57"/>
      <w:bookmarkEnd w:id="58"/>
      <w:bookmarkEnd w:id="59"/>
    </w:p>
    <w:p>
      <w:pPr>
        <w:spacing w:line="600" w:lineRule="exact"/>
        <w:ind w:firstLine="640"/>
        <w:outlineLvl w:val="2"/>
        <w:rPr>
          <w:rFonts w:ascii="仿宋" w:hAnsi="仿宋" w:eastAsia="仿宋"/>
          <w:b/>
          <w:color w:val="auto"/>
          <w:sz w:val="32"/>
          <w:szCs w:val="32"/>
          <w:highlight w:val="none"/>
        </w:rPr>
      </w:pPr>
      <w:bookmarkStart w:id="60" w:name="_Toc15377216"/>
      <w:r>
        <w:rPr>
          <w:rFonts w:hint="eastAsia" w:ascii="仿宋" w:hAnsi="仿宋" w:eastAsia="仿宋"/>
          <w:b/>
          <w:color w:val="auto"/>
          <w:sz w:val="32"/>
          <w:szCs w:val="32"/>
          <w:highlight w:val="none"/>
        </w:rPr>
        <w:t>（一）“三公”经费财政拨款支出决算总体情况说明</w:t>
      </w:r>
      <w:bookmarkEnd w:id="60"/>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较上年无变化，年初未安排预算</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1" w:name="_Toc15377217"/>
      <w:r>
        <w:rPr>
          <w:rFonts w:hint="eastAsia" w:ascii="仿宋" w:hAnsi="仿宋" w:eastAsia="仿宋"/>
          <w:b/>
          <w:color w:val="auto"/>
          <w:sz w:val="32"/>
          <w:szCs w:val="32"/>
          <w:highlight w:val="none"/>
        </w:rPr>
        <w:t>（二）“三公”经费财政拨款支出决算具体情况说明</w:t>
      </w:r>
      <w:bookmarkEnd w:id="61"/>
    </w:p>
    <w:p>
      <w:pPr>
        <w:spacing w:line="600" w:lineRule="exact"/>
        <w:ind w:firstLine="640"/>
        <w:rPr>
          <w:rFonts w:ascii="仿宋" w:hAnsi="仿宋" w:eastAsia="仿宋"/>
          <w:b w:val="0"/>
          <w:bCs w:val="0"/>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年“三公”经费财政拨款支出决算中，因公出国（境）费支出决算0万元，占0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_GB2312" w:eastAsia="仿宋_GB2312"/>
          <w:b/>
          <w:color w:val="auto"/>
          <w:sz w:val="32"/>
          <w:szCs w:val="32"/>
          <w:highlight w:val="none"/>
        </w:rPr>
      </w:pPr>
      <w:bookmarkStart w:id="62" w:name="_Toc15377221"/>
      <w:bookmarkStart w:id="63" w:name="_Toc15396612"/>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rPr>
        <w:t>因公出国（境）经费支出0万元，年初未安排预算。</w:t>
      </w:r>
    </w:p>
    <w:p>
      <w:pPr>
        <w:spacing w:line="600" w:lineRule="exact"/>
        <w:ind w:firstLine="642"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公务用车购置及运行维护费支出0万元</w:t>
      </w:r>
      <w:r>
        <w:rPr>
          <w:rFonts w:hint="eastAsia" w:ascii="仿宋_GB2312" w:eastAsia="仿宋_GB2312"/>
          <w:b/>
          <w:color w:val="auto"/>
          <w:sz w:val="32"/>
          <w:szCs w:val="32"/>
          <w:highlight w:val="none"/>
          <w:lang w:eastAsia="zh-CN"/>
        </w:rPr>
        <w:t>，</w:t>
      </w:r>
      <w:r>
        <w:rPr>
          <w:rFonts w:hint="eastAsia" w:ascii="仿宋_GB2312" w:eastAsia="仿宋_GB2312"/>
          <w:color w:val="auto"/>
          <w:sz w:val="32"/>
          <w:szCs w:val="32"/>
          <w:highlight w:val="none"/>
        </w:rPr>
        <w:t>年初未安排预算，公务用车购置及运行维护费支出决算比2022</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rPr>
        <w:t>无变化。</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其中：公务用车购置支出0万元，年初未安排预算。截至2023年12月31日，单位共有公务用车0辆。</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公务用车运行维护费支出0万元，年初未安排预算。</w:t>
      </w:r>
    </w:p>
    <w:p>
      <w:pPr>
        <w:pageBreakBefore w:val="0"/>
        <w:kinsoku/>
        <w:wordWrap/>
        <w:overflowPunct/>
        <w:topLinePunct w:val="0"/>
        <w:bidi w:val="0"/>
        <w:spacing w:line="576" w:lineRule="exact"/>
        <w:ind w:firstLine="640"/>
        <w:jc w:val="both"/>
        <w:textAlignment w:val="auto"/>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lang w:eastAsia="zh-CN"/>
        </w:rPr>
        <w:t>较上年无变化，年初未安排预算</w:t>
      </w:r>
      <w:r>
        <w:rPr>
          <w:rStyle w:val="20"/>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jc w:val="both"/>
        <w:textAlignment w:val="auto"/>
        <w:outlineLvl w:val="1"/>
        <w:rPr>
          <w:rStyle w:val="23"/>
          <w:rFonts w:ascii="黑体" w:hAnsi="黑体" w:eastAsia="黑体"/>
          <w:color w:val="auto"/>
          <w:highlight w:val="none"/>
        </w:rPr>
      </w:pPr>
      <w:bookmarkStart w:id="64" w:name="_Toc15377218"/>
      <w:bookmarkStart w:id="65" w:name="_Toc15396610"/>
      <w:bookmarkStart w:id="66" w:name="_Toc6264"/>
      <w:r>
        <w:rPr>
          <w:rFonts w:hint="eastAsia" w:ascii="黑体" w:eastAsia="黑体"/>
          <w:color w:val="auto"/>
          <w:sz w:val="32"/>
          <w:szCs w:val="32"/>
          <w:highlight w:val="none"/>
        </w:rPr>
        <w:t>八、</w:t>
      </w:r>
      <w:r>
        <w:rPr>
          <w:rStyle w:val="23"/>
          <w:rFonts w:hint="eastAsia" w:ascii="黑体" w:hAnsi="黑体" w:eastAsia="黑体"/>
          <w:b w:val="0"/>
          <w:color w:val="auto"/>
          <w:highlight w:val="none"/>
        </w:rPr>
        <w:t>政府性基金预算支出决算情况说明</w:t>
      </w:r>
      <w:bookmarkEnd w:id="64"/>
      <w:bookmarkEnd w:id="65"/>
      <w:bookmarkEnd w:id="66"/>
    </w:p>
    <w:p>
      <w:pPr>
        <w:pageBreakBefore w:val="0"/>
        <w:kinsoku/>
        <w:wordWrap/>
        <w:overflowPunct/>
        <w:topLinePunct w:val="0"/>
        <w:bidi w:val="0"/>
        <w:spacing w:line="576" w:lineRule="exact"/>
        <w:ind w:firstLine="640"/>
        <w:jc w:val="both"/>
        <w:textAlignment w:val="auto"/>
        <w:rPr>
          <w:color w:val="auto"/>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76" w:lineRule="exact"/>
        <w:ind w:left="-640" w:leftChars="0" w:firstLine="640" w:firstLineChars="0"/>
        <w:jc w:val="both"/>
        <w:textAlignment w:val="auto"/>
        <w:outlineLvl w:val="1"/>
        <w:rPr>
          <w:rStyle w:val="23"/>
          <w:rFonts w:ascii="黑体" w:hAnsi="黑体" w:eastAsia="黑体"/>
          <w:b w:val="0"/>
          <w:color w:val="auto"/>
          <w:highlight w:val="none"/>
        </w:rPr>
      </w:pPr>
      <w:bookmarkStart w:id="67" w:name="_Toc15377219"/>
      <w:bookmarkStart w:id="68" w:name="_Toc29129"/>
      <w:bookmarkStart w:id="69" w:name="_Toc15396611"/>
      <w:r>
        <w:rPr>
          <w:rStyle w:val="23"/>
          <w:rFonts w:hint="eastAsia" w:ascii="黑体" w:hAnsi="黑体" w:eastAsia="黑体"/>
          <w:b w:val="0"/>
          <w:color w:val="auto"/>
          <w:highlight w:val="none"/>
        </w:rPr>
        <w:t>国有资本经营预算支出决算情况说明</w:t>
      </w:r>
      <w:bookmarkEnd w:id="67"/>
      <w:bookmarkEnd w:id="68"/>
      <w:bookmarkEnd w:id="69"/>
    </w:p>
    <w:p>
      <w:pPr>
        <w:pageBreakBefore w:val="0"/>
        <w:kinsoku/>
        <w:wordWrap/>
        <w:overflowPunct/>
        <w:topLinePunct w:val="0"/>
        <w:bidi w:val="0"/>
        <w:spacing w:line="576" w:lineRule="exact"/>
        <w:ind w:firstLine="640"/>
        <w:jc w:val="both"/>
        <w:textAlignment w:val="auto"/>
        <w:rPr>
          <w:rFonts w:hint="eastAsia"/>
          <w:color w:val="auto"/>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60.74</w:t>
      </w:r>
      <w:r>
        <w:rPr>
          <w:rFonts w:hint="eastAsia" w:ascii="仿宋_GB2312" w:eastAsia="仿宋_GB2312"/>
          <w:color w:val="auto"/>
          <w:sz w:val="32"/>
          <w:szCs w:val="32"/>
          <w:highlight w:val="none"/>
        </w:rPr>
        <w:t>万元。</w:t>
      </w:r>
    </w:p>
    <w:p>
      <w:pPr>
        <w:spacing w:line="600" w:lineRule="exact"/>
        <w:ind w:firstLine="800" w:firstLineChars="250"/>
        <w:outlineLvl w:val="1"/>
        <w:rPr>
          <w:rStyle w:val="23"/>
          <w:rFonts w:ascii="黑体" w:hAnsi="黑体" w:eastAsia="黑体"/>
          <w:color w:val="auto"/>
          <w:highlight w:val="none"/>
        </w:rPr>
      </w:pPr>
      <w:bookmarkStart w:id="70" w:name="_Toc14455"/>
      <w:r>
        <w:rPr>
          <w:rFonts w:hint="eastAsia" w:ascii="黑体" w:hAnsi="黑体" w:eastAsia="黑体"/>
          <w:color w:val="auto"/>
          <w:sz w:val="32"/>
          <w:szCs w:val="32"/>
          <w:highlight w:val="none"/>
        </w:rPr>
        <w:t>十</w:t>
      </w:r>
      <w:r>
        <w:rPr>
          <w:rStyle w:val="23"/>
          <w:rFonts w:hint="eastAsia" w:ascii="黑体" w:hAnsi="黑体" w:eastAsia="黑体"/>
          <w:color w:val="auto"/>
          <w:highlight w:val="none"/>
        </w:rPr>
        <w:t>、</w:t>
      </w:r>
      <w:r>
        <w:rPr>
          <w:rStyle w:val="23"/>
          <w:rFonts w:hint="eastAsia" w:ascii="黑体" w:hAnsi="黑体" w:eastAsia="黑体"/>
          <w:b w:val="0"/>
          <w:color w:val="auto"/>
          <w:highlight w:val="none"/>
        </w:rPr>
        <w:t>其他重要事项的情况说明</w:t>
      </w:r>
      <w:bookmarkEnd w:id="62"/>
      <w:bookmarkEnd w:id="63"/>
      <w:bookmarkEnd w:id="70"/>
    </w:p>
    <w:p>
      <w:pPr>
        <w:spacing w:line="600" w:lineRule="exact"/>
        <w:ind w:firstLine="642" w:firstLineChars="200"/>
        <w:outlineLvl w:val="2"/>
        <w:rPr>
          <w:rFonts w:ascii="仿宋" w:hAnsi="仿宋" w:eastAsia="仿宋"/>
          <w:color w:val="auto"/>
          <w:sz w:val="32"/>
          <w:szCs w:val="32"/>
          <w:highlight w:val="none"/>
        </w:rPr>
      </w:pPr>
      <w:bookmarkStart w:id="71" w:name="_Toc15377222"/>
      <w:r>
        <w:rPr>
          <w:rFonts w:hint="eastAsia" w:ascii="仿宋" w:hAnsi="仿宋" w:eastAsia="仿宋"/>
          <w:b/>
          <w:color w:val="auto"/>
          <w:sz w:val="32"/>
          <w:szCs w:val="32"/>
          <w:highlight w:val="none"/>
        </w:rPr>
        <w:t>（一）机关运行经费支出情况</w:t>
      </w:r>
      <w:bookmarkEnd w:id="71"/>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年，下西办事处机关运行经费支出</w:t>
      </w:r>
      <w:r>
        <w:rPr>
          <w:rFonts w:hint="eastAsia" w:ascii="仿宋_GB2312" w:eastAsia="仿宋_GB2312"/>
          <w:color w:val="auto"/>
          <w:sz w:val="32"/>
          <w:szCs w:val="32"/>
          <w:highlight w:val="none"/>
          <w:lang w:val="en-US" w:eastAsia="zh-CN"/>
        </w:rPr>
        <w:t>44.12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129.65</w:t>
      </w:r>
      <w:r>
        <w:rPr>
          <w:rFonts w:hint="eastAsia" w:ascii="仿宋_GB2312" w:eastAsia="仿宋_GB2312"/>
          <w:color w:val="auto"/>
          <w:sz w:val="32"/>
          <w:szCs w:val="32"/>
          <w:highlight w:val="none"/>
        </w:rPr>
        <w:t>万元，主要原因是</w:t>
      </w:r>
      <w:r>
        <w:rPr>
          <w:rFonts w:hint="eastAsia" w:ascii="仿宋_GB2312" w:eastAsia="仿宋_GB2312"/>
          <w:color w:val="auto"/>
          <w:sz w:val="32"/>
          <w:szCs w:val="32"/>
          <w:highlight w:val="none"/>
          <w:lang w:eastAsia="zh-CN"/>
        </w:rPr>
        <w:t>聘用人员费用在项目中列支</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2" w:name="_Toc15377223"/>
      <w:r>
        <w:rPr>
          <w:rFonts w:hint="eastAsia" w:ascii="仿宋" w:hAnsi="仿宋" w:eastAsia="仿宋"/>
          <w:b/>
          <w:color w:val="auto"/>
          <w:sz w:val="32"/>
          <w:szCs w:val="32"/>
          <w:highlight w:val="none"/>
        </w:rPr>
        <w:t>（二）政府采购支出情况</w:t>
      </w:r>
      <w:bookmarkEnd w:id="7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3" w:name="_Toc15377224"/>
      <w:r>
        <w:rPr>
          <w:rFonts w:hint="eastAsia" w:ascii="仿宋" w:hAnsi="仿宋" w:eastAsia="仿宋"/>
          <w:b/>
          <w:color w:val="auto"/>
          <w:sz w:val="32"/>
          <w:szCs w:val="32"/>
          <w:highlight w:val="none"/>
        </w:rPr>
        <w:t>（三）国有资产占有使用情况</w:t>
      </w:r>
      <w:bookmarkEnd w:id="73"/>
    </w:p>
    <w:p>
      <w:pPr>
        <w:pStyle w:val="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下西办事处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9"/>
        <w:rPr>
          <w:rFonts w:hint="eastAsia" w:ascii="仿宋" w:hAnsi="仿宋" w:eastAsia="仿宋"/>
          <w:b/>
          <w:color w:val="auto"/>
          <w:sz w:val="32"/>
          <w:szCs w:val="32"/>
          <w:highlight w:val="none"/>
        </w:rPr>
      </w:pP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信访安全维稳</w:t>
      </w:r>
      <w:r>
        <w:rPr>
          <w:rFonts w:hint="eastAsia" w:ascii="仿宋_GB2312" w:hAnsi="仿宋_GB2312" w:eastAsia="仿宋_GB2312" w:cs="仿宋_GB2312"/>
          <w:color w:val="auto"/>
          <w:sz w:val="32"/>
          <w:szCs w:val="32"/>
          <w:highlight w:val="none"/>
        </w:rPr>
        <w:t>等项目开展了预算事前绩效评估，对</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政府性基金预算、国有资本经营预算、等</w:t>
      </w:r>
      <w:r>
        <w:rPr>
          <w:rFonts w:hint="eastAsia" w:ascii="仿宋_GB2312" w:hAnsi="仿宋_GB2312" w:eastAsia="仿宋_GB2312" w:cs="仿宋_GB2312"/>
          <w:color w:val="auto"/>
          <w:sz w:val="32"/>
          <w:szCs w:val="32"/>
          <w:highlight w:val="none"/>
          <w:lang w:val="en-US" w:eastAsia="zh-CN"/>
        </w:rPr>
        <w:t>全面开展绩效自评。绩效自评报告详见附件</w:t>
      </w:r>
    </w:p>
    <w:p>
      <w:pPr>
        <w:pStyle w:val="2"/>
        <w:rPr>
          <w:highlight w:val="yellow"/>
        </w:rPr>
      </w:pPr>
    </w:p>
    <w:p>
      <w:pPr>
        <w:numPr>
          <w:ilvl w:val="0"/>
          <w:numId w:val="3"/>
        </w:numPr>
        <w:spacing w:line="600" w:lineRule="exact"/>
        <w:ind w:firstLine="662" w:firstLineChars="150"/>
        <w:jc w:val="center"/>
        <w:outlineLvl w:val="0"/>
        <w:rPr>
          <w:rStyle w:val="22"/>
          <w:rFonts w:ascii="黑体" w:hAnsi="黑体" w:eastAsia="黑体"/>
          <w:b w:val="0"/>
          <w:color w:val="auto"/>
          <w:highlight w:val="none"/>
        </w:rPr>
      </w:pPr>
      <w:bookmarkStart w:id="74" w:name="_Toc15377225"/>
      <w:bookmarkStart w:id="75" w:name="_Toc15396613"/>
      <w:bookmarkStart w:id="76" w:name="_Toc21815"/>
      <w:r>
        <w:rPr>
          <w:rFonts w:hint="eastAsia" w:ascii="黑体" w:hAnsi="黑体" w:eastAsia="黑体"/>
          <w:b/>
          <w:color w:val="auto"/>
          <w:sz w:val="44"/>
          <w:szCs w:val="44"/>
          <w:highlight w:val="none"/>
        </w:rPr>
        <w:t>名</w:t>
      </w:r>
      <w:r>
        <w:rPr>
          <w:rStyle w:val="22"/>
          <w:rFonts w:hint="eastAsia" w:ascii="黑体" w:hAnsi="黑体" w:eastAsia="黑体"/>
          <w:b w:val="0"/>
          <w:color w:val="auto"/>
          <w:highlight w:val="none"/>
        </w:rPr>
        <w:t>词解释</w:t>
      </w:r>
      <w:bookmarkEnd w:id="74"/>
      <w:bookmarkEnd w:id="75"/>
      <w:bookmarkEnd w:id="76"/>
    </w:p>
    <w:p>
      <w:pPr>
        <w:spacing w:line="600" w:lineRule="exact"/>
        <w:jc w:val="left"/>
        <w:rPr>
          <w:rFonts w:ascii="宋体"/>
          <w:b/>
          <w:color w:val="auto"/>
          <w:sz w:val="44"/>
          <w:szCs w:val="44"/>
          <w:highlight w:val="none"/>
        </w:rPr>
      </w:pPr>
    </w:p>
    <w:p>
      <w:pPr>
        <w:pStyle w:val="31"/>
        <w:numPr>
          <w:ilvl w:val="0"/>
          <w:numId w:val="4"/>
        </w:numPr>
        <w:spacing w:line="560" w:lineRule="exact"/>
        <w:ind w:left="0" w:leftChars="0" w:firstLine="400" w:firstLineChars="0"/>
        <w:outlineLvl w:val="1"/>
        <w:rPr>
          <w:rFonts w:ascii="仿宋_GB2312" w:eastAsia="仿宋_GB2312"/>
          <w:color w:val="auto"/>
          <w:sz w:val="32"/>
          <w:szCs w:val="32"/>
          <w:highlight w:val="none"/>
        </w:rPr>
      </w:pPr>
      <w:bookmarkStart w:id="77" w:name="_Toc12942"/>
      <w:bookmarkStart w:id="78" w:name="_Toc15396614"/>
      <w:bookmarkStart w:id="79" w:name="_Toc15377226"/>
      <w:r>
        <w:rPr>
          <w:rFonts w:hint="eastAsia" w:ascii="仿宋_GB2312" w:eastAsia="仿宋_GB2312"/>
          <w:color w:val="auto"/>
          <w:sz w:val="32"/>
          <w:szCs w:val="32"/>
          <w:highlight w:val="none"/>
        </w:rPr>
        <w:t>财政拨款收入：指单位从同级财政部门取得的财政预算资金。</w:t>
      </w:r>
      <w:bookmarkEnd w:id="77"/>
    </w:p>
    <w:p>
      <w:pPr>
        <w:widowControl/>
        <w:numPr>
          <w:ilvl w:val="0"/>
          <w:numId w:val="4"/>
        </w:numPr>
        <w:ind w:left="0" w:leftChars="0" w:firstLine="400" w:firstLineChars="0"/>
        <w:jc w:val="left"/>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一般公共服务支出（类）201政府办公厅（室）及相关机构事务（款）03行政运行（项）01：指反映行政单位（包括实行公务员管理的事业单位）的基本支出。</w:t>
      </w:r>
    </w:p>
    <w:p>
      <w:pPr>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一般公共服务支出（类）201政府办公厅（室）及相关机构事务（款）03</w:t>
      </w:r>
      <w:r>
        <w:rPr>
          <w:rFonts w:hint="eastAsia" w:ascii="仿宋_GB2312" w:eastAsia="仿宋_GB2312"/>
          <w:color w:val="auto"/>
          <w:sz w:val="32"/>
          <w:szCs w:val="32"/>
          <w:highlight w:val="none"/>
        </w:rPr>
        <w:t>一般行政管理事务（项）02：指反映行政单位（包括实行公务员管理的事业单位）未单独设置项级科目的其他项目支出。</w:t>
      </w:r>
    </w:p>
    <w:p>
      <w:pPr>
        <w:pStyle w:val="2"/>
        <w:numPr>
          <w:ilvl w:val="0"/>
          <w:numId w:val="4"/>
        </w:numPr>
        <w:ind w:left="0" w:leftChars="0" w:firstLine="400" w:firstLineChars="0"/>
        <w:rPr>
          <w:rFonts w:hint="default" w:eastAsia="仿宋_GB2312"/>
          <w:color w:val="auto"/>
          <w:highlight w:val="none"/>
          <w:lang w:val="en-US" w:eastAsia="zh-CN"/>
        </w:rPr>
      </w:pPr>
      <w:r>
        <w:rPr>
          <w:rFonts w:hint="eastAsia" w:ascii="仿宋_GB2312" w:hAnsi="仿宋_GB2312" w:eastAsia="仿宋_GB2312" w:cs="仿宋_GB2312"/>
          <w:color w:val="auto"/>
          <w:kern w:val="0"/>
          <w:sz w:val="32"/>
          <w:szCs w:val="32"/>
          <w:highlight w:val="none"/>
        </w:rPr>
        <w:t>一般公共服务支出（类）201政府办公厅（室）及相关机构事务（款）03</w:t>
      </w:r>
      <w:r>
        <w:rPr>
          <w:rFonts w:hint="eastAsia" w:ascii="仿宋_GB2312" w:eastAsia="仿宋_GB2312"/>
          <w:color w:val="auto"/>
          <w:sz w:val="32"/>
          <w:szCs w:val="32"/>
          <w:highlight w:val="none"/>
          <w:lang w:eastAsia="zh-CN"/>
        </w:rPr>
        <w:t>机关服务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：指反映行政单位（包括实行公务员管理的事业单位）</w:t>
      </w:r>
      <w:r>
        <w:rPr>
          <w:rFonts w:hint="eastAsia" w:ascii="仿宋_GB2312" w:eastAsia="仿宋_GB2312"/>
          <w:color w:val="auto"/>
          <w:sz w:val="32"/>
          <w:szCs w:val="32"/>
          <w:highlight w:val="none"/>
          <w:lang w:eastAsia="zh-CN"/>
        </w:rPr>
        <w:t>提供后勤服务的各类后勤服务中心、医务室等附属事业单位的支出。其他事业单位的支出，凡单独设置了项级科目的，在单独设置的项级科目中</w:t>
      </w:r>
      <w:r>
        <w:rPr>
          <w:rFonts w:hint="eastAsia"/>
          <w:color w:val="auto"/>
          <w:sz w:val="32"/>
          <w:szCs w:val="32"/>
          <w:highlight w:val="none"/>
          <w:lang w:eastAsia="zh-CN"/>
        </w:rPr>
        <w:t>反映</w:t>
      </w:r>
      <w:r>
        <w:rPr>
          <w:rFonts w:hint="eastAsia" w:ascii="仿宋_GB2312" w:eastAsia="仿宋_GB2312"/>
          <w:color w:val="auto"/>
          <w:sz w:val="32"/>
          <w:szCs w:val="32"/>
          <w:highlight w:val="none"/>
          <w:lang w:eastAsia="zh-CN"/>
        </w:rPr>
        <w:t>。未单设项级科目的，在“其他”项级科目中</w:t>
      </w:r>
      <w:r>
        <w:rPr>
          <w:rFonts w:hint="eastAsia"/>
          <w:color w:val="auto"/>
          <w:sz w:val="32"/>
          <w:szCs w:val="32"/>
          <w:highlight w:val="none"/>
          <w:lang w:eastAsia="zh-CN"/>
        </w:rPr>
        <w:t>反映</w:t>
      </w:r>
      <w:r>
        <w:rPr>
          <w:rFonts w:hint="eastAsia" w:ascii="仿宋_GB2312" w:eastAsia="仿宋_GB2312"/>
          <w:color w:val="auto"/>
          <w:sz w:val="32"/>
          <w:szCs w:val="32"/>
          <w:highlight w:val="none"/>
          <w:lang w:eastAsia="zh-CN"/>
        </w:rPr>
        <w:t>。</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一般公共服务支出（类）201政府办公厅（室）及相关机构事务（款）03</w:t>
      </w:r>
      <w:r>
        <w:rPr>
          <w:rFonts w:hint="eastAsia" w:ascii="仿宋_GB2312" w:eastAsia="仿宋_GB2312"/>
          <w:color w:val="auto"/>
          <w:sz w:val="32"/>
          <w:szCs w:val="32"/>
          <w:highlight w:val="none"/>
        </w:rPr>
        <w:t xml:space="preserve"> 信访事务（项）0</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反映各级政府用于接待群众来信来访方面的支出</w:t>
      </w:r>
      <w:r>
        <w:rPr>
          <w:rFonts w:hint="eastAsia" w:ascii="仿宋_GB2312" w:eastAsia="仿宋_GB2312"/>
          <w:color w:val="auto"/>
          <w:sz w:val="32"/>
          <w:szCs w:val="32"/>
          <w:highlight w:val="none"/>
        </w:rPr>
        <w:t>。</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一般公共服务支出（类）201</w:t>
      </w:r>
      <w:r>
        <w:rPr>
          <w:rFonts w:hint="eastAsia" w:ascii="仿宋_GB2312" w:hAnsi="仿宋_GB2312" w:eastAsia="仿宋_GB2312" w:cs="仿宋_GB2312"/>
          <w:color w:val="auto"/>
          <w:kern w:val="0"/>
          <w:sz w:val="32"/>
          <w:szCs w:val="32"/>
          <w:highlight w:val="none"/>
          <w:lang w:eastAsia="zh-CN"/>
        </w:rPr>
        <w:t>发展与改革事务（款）</w:t>
      </w:r>
      <w:r>
        <w:rPr>
          <w:rFonts w:hint="eastAsia" w:ascii="仿宋_GB2312" w:hAnsi="仿宋_GB2312" w:eastAsia="仿宋_GB2312" w:cs="仿宋_GB2312"/>
          <w:color w:val="auto"/>
          <w:kern w:val="0"/>
          <w:sz w:val="32"/>
          <w:szCs w:val="32"/>
          <w:highlight w:val="none"/>
          <w:lang w:val="en-US" w:eastAsia="zh-CN"/>
        </w:rPr>
        <w:t>04</w:t>
      </w:r>
      <w:r>
        <w:rPr>
          <w:rFonts w:hint="eastAsia" w:ascii="仿宋_GB2312" w:hAnsi="仿宋_GB2312" w:eastAsia="仿宋_GB2312" w:cs="仿宋_GB2312"/>
          <w:color w:val="auto"/>
          <w:kern w:val="0"/>
          <w:sz w:val="32"/>
          <w:szCs w:val="32"/>
          <w:highlight w:val="none"/>
          <w:lang w:eastAsia="zh-CN"/>
        </w:rPr>
        <w:t>日常经济运行调节（</w:t>
      </w:r>
      <w:r>
        <w:rPr>
          <w:rFonts w:hint="eastAsia" w:ascii="仿宋_GB2312" w:hAnsi="仿宋_GB2312" w:eastAsia="仿宋_GB2312" w:cs="仿宋_GB2312"/>
          <w:color w:val="auto"/>
          <w:kern w:val="0"/>
          <w:sz w:val="32"/>
          <w:szCs w:val="32"/>
          <w:highlight w:val="none"/>
          <w:lang w:val="en-US" w:eastAsia="zh-CN"/>
        </w:rPr>
        <w:t>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05：指反映</w:t>
      </w:r>
      <w:r>
        <w:rPr>
          <w:rFonts w:hint="eastAsia" w:ascii="仿宋_GB2312" w:hAnsi="仿宋_GB2312" w:eastAsia="仿宋_GB2312" w:cs="仿宋_GB2312"/>
          <w:color w:val="auto"/>
          <w:kern w:val="0"/>
          <w:sz w:val="32"/>
          <w:szCs w:val="32"/>
          <w:highlight w:val="none"/>
          <w:lang w:eastAsia="zh-CN"/>
        </w:rPr>
        <w:t>日常经济运行调节方面的支出。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一般公共服务（类）201</w:t>
      </w:r>
      <w:r>
        <w:rPr>
          <w:rFonts w:hint="eastAsia" w:ascii="仿宋_GB2312" w:eastAsia="仿宋_GB2312"/>
          <w:color w:val="auto"/>
          <w:sz w:val="32"/>
          <w:szCs w:val="32"/>
          <w:highlight w:val="none"/>
          <w:lang w:eastAsia="zh-CN"/>
        </w:rPr>
        <w:t>党委办公厅（室）及相关机构事务</w:t>
      </w:r>
      <w:r>
        <w:rPr>
          <w:rFonts w:hint="eastAsia" w:ascii="仿宋_GB2312" w:eastAsia="仿宋_GB2312"/>
          <w:color w:val="auto"/>
          <w:sz w:val="32"/>
          <w:szCs w:val="32"/>
          <w:highlight w:val="none"/>
        </w:rPr>
        <w:t>（款）3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党委办公厅（室）及相关机构事务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指反映</w:t>
      </w:r>
      <w:r>
        <w:rPr>
          <w:rFonts w:hint="eastAsia" w:ascii="仿宋_GB2312" w:eastAsia="仿宋_GB2312"/>
          <w:color w:val="auto"/>
          <w:sz w:val="32"/>
          <w:szCs w:val="32"/>
          <w:highlight w:val="none"/>
          <w:lang w:eastAsia="zh-CN"/>
        </w:rPr>
        <w:t>除上述项目以外其他用于党委办公厅（室）及相关机构事务支出</w:t>
      </w:r>
      <w:r>
        <w:rPr>
          <w:rFonts w:hint="eastAsia" w:ascii="仿宋_GB2312" w:eastAsia="仿宋_GB2312"/>
          <w:color w:val="auto"/>
          <w:sz w:val="32"/>
          <w:szCs w:val="32"/>
          <w:highlight w:val="none"/>
        </w:rPr>
        <w:t>。</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一般公共服务（类）201</w:t>
      </w:r>
      <w:r>
        <w:rPr>
          <w:rFonts w:hint="eastAsia" w:ascii="仿宋_GB2312" w:eastAsia="仿宋_GB2312"/>
          <w:color w:val="auto"/>
          <w:sz w:val="32"/>
          <w:szCs w:val="32"/>
          <w:highlight w:val="none"/>
        </w:rPr>
        <w:t>其他一般公共服务支出（款）99其他一般公共服务支出（项）99指反映除用于上述项目以外的其他一般公共服务支出。</w:t>
      </w:r>
    </w:p>
    <w:p>
      <w:pPr>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公共安全支出（类）204国家安全（款）03其他国家安全支出（项）99：指反映用于安全方面的支出。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社会保障和就业支出（类）208行政事业单位离退休（款）05</w:t>
      </w:r>
      <w:r>
        <w:rPr>
          <w:rFonts w:hint="eastAsia" w:ascii="仿宋_GB2312" w:eastAsia="仿宋_GB2312"/>
          <w:color w:val="auto"/>
          <w:sz w:val="32"/>
          <w:szCs w:val="32"/>
          <w:highlight w:val="none"/>
          <w:lang w:eastAsia="zh-CN"/>
        </w:rPr>
        <w:t>行政单位离退休（项）</w:t>
      </w:r>
      <w:r>
        <w:rPr>
          <w:rFonts w:hint="eastAsia" w:ascii="仿宋_GB2312" w:eastAsia="仿宋_GB2312"/>
          <w:color w:val="auto"/>
          <w:sz w:val="32"/>
          <w:szCs w:val="32"/>
          <w:highlight w:val="none"/>
          <w:lang w:val="en-US" w:eastAsia="zh-CN"/>
        </w:rPr>
        <w:t>01：指反映行政单位（包括实行公务员管理的事业单位）开支离退休经费。</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社会保障和就业支出（类）208行政事业单位离退休（款）05机关事业单位基本养老保险缴费支出（项）05：指反映机关事业单位实施养老保险制度由单位缴纳的基本养老保险费支出。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社会保障和就业支出（类）208行政事业单位离退休（款）05机关事业单位职业年金缴费支出（项）06：指反映机关事业单位实施养老保险制度由单位实际缴纳的职业年金支出。</w:t>
      </w:r>
    </w:p>
    <w:p>
      <w:pPr>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节能环保支出（类）</w:t>
      </w:r>
      <w:r>
        <w:rPr>
          <w:rFonts w:hint="eastAsia" w:ascii="仿宋_GB2312" w:eastAsia="仿宋_GB2312"/>
          <w:color w:val="auto"/>
          <w:sz w:val="32"/>
          <w:szCs w:val="32"/>
          <w:highlight w:val="none"/>
          <w:lang w:val="en-US" w:eastAsia="zh-CN"/>
        </w:rPr>
        <w:t>211</w:t>
      </w:r>
      <w:r>
        <w:rPr>
          <w:rFonts w:hint="eastAsia" w:ascii="仿宋_GB2312" w:eastAsia="仿宋_GB2312"/>
          <w:color w:val="auto"/>
          <w:sz w:val="32"/>
          <w:szCs w:val="32"/>
          <w:highlight w:val="none"/>
          <w:lang w:eastAsia="zh-CN"/>
        </w:rPr>
        <w:t>环境保护管理事务（款）</w:t>
      </w:r>
      <w:r>
        <w:rPr>
          <w:rFonts w:hint="eastAsia" w:ascii="仿宋_GB2312" w:eastAsia="仿宋_GB2312"/>
          <w:color w:val="auto"/>
          <w:sz w:val="32"/>
          <w:szCs w:val="32"/>
          <w:highlight w:val="none"/>
          <w:lang w:val="en-US" w:eastAsia="zh-CN"/>
        </w:rPr>
        <w:t>01其他</w:t>
      </w:r>
      <w:r>
        <w:rPr>
          <w:rFonts w:hint="eastAsia" w:ascii="仿宋_GB2312" w:eastAsia="仿宋_GB2312"/>
          <w:color w:val="auto"/>
          <w:sz w:val="32"/>
          <w:szCs w:val="32"/>
          <w:highlight w:val="none"/>
          <w:lang w:eastAsia="zh-CN"/>
        </w:rPr>
        <w:t>环境保护管理事务支出（项）</w:t>
      </w:r>
      <w:r>
        <w:rPr>
          <w:rFonts w:hint="eastAsia" w:ascii="仿宋_GB2312" w:eastAsia="仿宋_GB2312"/>
          <w:color w:val="auto"/>
          <w:sz w:val="32"/>
          <w:szCs w:val="32"/>
          <w:highlight w:val="none"/>
          <w:lang w:val="en-US" w:eastAsia="zh-CN"/>
        </w:rPr>
        <w:t>99：指反映除上述项目以外其他用于环境保护管理事务方面的支出。</w:t>
      </w:r>
    </w:p>
    <w:p>
      <w:pPr>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城乡社区支出（类）212城乡社区环境卫生（款）05城乡社区环境卫生（项）01：反映城乡社区道路清扫、垃圾清运与处理、公厕建设与维护、园林绿化等方面的支出。</w:t>
      </w:r>
    </w:p>
    <w:p>
      <w:pPr>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其他国有土地使用权出让收入安排的支出（2120899）反映土地出让收入用于其他方面的支出。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农林水支出（类）213林业（款）02林业防灾减灾（项）34：反映为预防和扑救、救治森林火灾、林业有害生物灾害、自然水旱灾害等发生的支出。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农林水支出（类）213农村综合改革（款）07对村民委员会和村党支部的补助（项）05：反映各级财政对村民委员会和村党支部的补助支出，以及支持建立县级基本财力保障机制安排的村级组织运转奖补资金。</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交通运输支出（类）214公路水路运输（款）01公路和运输安全（项）10：指反映公路和运输安全支出。</w:t>
      </w:r>
    </w:p>
    <w:p>
      <w:pPr>
        <w:pStyle w:val="2"/>
        <w:numPr>
          <w:ilvl w:val="0"/>
          <w:numId w:val="4"/>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住房保障支出（类）221住房改革支出（款）02住房公积金（项）01：指反映行政事业单位按人力资源和社会保障部、财政部规定的基本工资和津贴补贴以及规定比例为职工缴纳的住房公积金。</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国有资本经营预算支出（类）</w:t>
      </w:r>
      <w:r>
        <w:rPr>
          <w:rFonts w:hint="eastAsia" w:ascii="仿宋_GB2312" w:eastAsia="仿宋_GB2312"/>
          <w:color w:val="auto"/>
          <w:sz w:val="32"/>
          <w:szCs w:val="32"/>
          <w:highlight w:val="none"/>
          <w:lang w:val="en-US" w:eastAsia="zh-CN"/>
        </w:rPr>
        <w:t>223国有企业政策性补贴（款）03国有企业政策性补贴（项）01指：反映使用国有资本经营预算收入安排的用于国有企业政策性补助方面的支出。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31"/>
        <w:numPr>
          <w:ilvl w:val="0"/>
          <w:numId w:val="4"/>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numPr>
          <w:ilvl w:val="0"/>
          <w:numId w:val="4"/>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bookmarkEnd w:id="78"/>
    <w:p>
      <w:pPr>
        <w:pStyle w:val="3"/>
        <w:jc w:val="both"/>
        <w:rPr>
          <w:rFonts w:hint="eastAsia" w:ascii="黑体" w:hAnsi="黑体" w:eastAsia="黑体"/>
          <w:color w:val="auto"/>
          <w:sz w:val="44"/>
          <w:szCs w:val="44"/>
          <w:highlight w:val="none"/>
          <w:lang w:eastAsia="zh-CN"/>
        </w:rPr>
      </w:pPr>
      <w:bookmarkStart w:id="80" w:name="_Toc15396618"/>
    </w:p>
    <w:p>
      <w:pPr>
        <w:pStyle w:val="3"/>
        <w:jc w:val="center"/>
        <w:outlineLvl w:val="0"/>
        <w:rPr>
          <w:rFonts w:hint="default" w:ascii="黑体" w:hAnsi="黑体" w:eastAsia="黑体"/>
          <w:color w:val="auto"/>
          <w:sz w:val="44"/>
          <w:szCs w:val="44"/>
          <w:highlight w:val="none"/>
          <w:lang w:val="en-US" w:eastAsia="zh-CN"/>
        </w:rPr>
      </w:pPr>
      <w:bookmarkStart w:id="81" w:name="_Toc11766"/>
      <w:r>
        <w:rPr>
          <w:rFonts w:hint="eastAsia" w:ascii="黑体" w:hAnsi="黑体" w:eastAsia="黑体"/>
          <w:color w:val="auto"/>
          <w:sz w:val="44"/>
          <w:szCs w:val="44"/>
          <w:highlight w:val="none"/>
          <w:lang w:eastAsia="zh-CN"/>
        </w:rPr>
        <w:t>第四部分</w:t>
      </w:r>
      <w:r>
        <w:rPr>
          <w:rFonts w:hint="eastAsia" w:ascii="黑体" w:hAnsi="黑体" w:eastAsia="黑体"/>
          <w:color w:val="auto"/>
          <w:sz w:val="44"/>
          <w:szCs w:val="44"/>
          <w:highlight w:val="none"/>
          <w:lang w:val="en-US" w:eastAsia="zh-CN"/>
        </w:rPr>
        <w:t xml:space="preserve">    附件</w:t>
      </w:r>
      <w:bookmarkEnd w:id="81"/>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lang w:val="en-US" w:eastAsia="zh-CN"/>
        </w:rPr>
      </w:pPr>
      <w:r>
        <w:rPr>
          <w:rFonts w:hint="eastAsia" w:ascii="黑体" w:hAnsi="黑体" w:eastAsia="黑体"/>
          <w:color w:val="auto"/>
          <w:sz w:val="44"/>
          <w:szCs w:val="44"/>
          <w:highlight w:val="none"/>
          <w:lang w:val="en-US" w:eastAsia="zh-CN"/>
        </w:rPr>
        <w:t>附件1</w:t>
      </w:r>
    </w:p>
    <w:p>
      <w:pPr>
        <w:pStyle w:val="17"/>
        <w:rPr>
          <w:rFonts w:hint="default"/>
          <w:lang w:val="en-US" w:eastAsia="zh-CN"/>
        </w:rPr>
      </w:pPr>
    </w:p>
    <w:p>
      <w:pPr>
        <w:spacing w:line="360" w:lineRule="auto"/>
        <w:ind w:right="420" w:rightChars="200"/>
        <w:jc w:val="center"/>
        <w:rPr>
          <w:rFonts w:hint="eastAsia" w:ascii="仿宋_GB2312" w:hAnsi="仿宋_GB2312" w:eastAsia="仿宋_GB2312" w:cs="仿宋_GB2312"/>
          <w:color w:val="auto"/>
          <w:sz w:val="32"/>
          <w:szCs w:val="32"/>
          <w:highlight w:val="none"/>
        </w:rPr>
      </w:pPr>
      <w:r>
        <w:rPr>
          <w:rFonts w:hint="eastAsia" w:ascii="微软雅黑" w:hAnsi="微软雅黑" w:eastAsia="微软雅黑" w:cs="微软雅黑"/>
          <w:color w:val="auto"/>
          <w:sz w:val="44"/>
          <w:szCs w:val="44"/>
          <w:highlight w:val="none"/>
        </w:rPr>
        <w:t>下西坝办事处202</w:t>
      </w:r>
      <w:r>
        <w:rPr>
          <w:rFonts w:hint="eastAsia" w:ascii="微软雅黑" w:hAnsi="微软雅黑" w:eastAsia="微软雅黑" w:cs="微软雅黑"/>
          <w:color w:val="auto"/>
          <w:sz w:val="44"/>
          <w:szCs w:val="44"/>
          <w:highlight w:val="none"/>
          <w:lang w:val="en-US" w:eastAsia="zh-CN"/>
        </w:rPr>
        <w:t>3</w:t>
      </w:r>
      <w:r>
        <w:rPr>
          <w:rFonts w:hint="eastAsia" w:ascii="微软雅黑" w:hAnsi="微软雅黑" w:eastAsia="微软雅黑" w:cs="微软雅黑"/>
          <w:color w:val="auto"/>
          <w:sz w:val="44"/>
          <w:szCs w:val="44"/>
          <w:highlight w:val="none"/>
        </w:rPr>
        <w:t>年部门整体支出绩效评价自评报告</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为了进一步加强我单位绩效评价管理，提高财政资金使用效率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根据相关文件要求， 结合实际，现将自评情况报告如下：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1"/>
        <w:rPr>
          <w:rFonts w:hint="eastAsia" w:ascii="黑体" w:hAnsi="黑体" w:eastAsia="黑体" w:cs="黑体"/>
          <w:color w:val="auto"/>
          <w:kern w:val="0"/>
          <w:sz w:val="32"/>
          <w:szCs w:val="32"/>
          <w:highlight w:val="none"/>
          <w:shd w:val="clear" w:color="auto" w:fill="FFFFFF"/>
          <w:lang w:val="zh-CN"/>
        </w:rPr>
      </w:pPr>
      <w:bookmarkStart w:id="82" w:name="_Toc14050"/>
      <w:r>
        <w:rPr>
          <w:rFonts w:hint="eastAsia" w:ascii="黑体" w:hAnsi="黑体" w:eastAsia="黑体" w:cs="黑体"/>
          <w:color w:val="auto"/>
          <w:kern w:val="0"/>
          <w:sz w:val="32"/>
          <w:szCs w:val="32"/>
          <w:highlight w:val="none"/>
          <w:shd w:val="clear" w:color="auto" w:fill="FFFFFF"/>
        </w:rPr>
        <w:t>一、</w:t>
      </w:r>
      <w:r>
        <w:rPr>
          <w:rFonts w:hint="eastAsia" w:ascii="黑体" w:hAnsi="黑体" w:eastAsia="黑体" w:cs="黑体"/>
          <w:color w:val="auto"/>
          <w:kern w:val="0"/>
          <w:sz w:val="32"/>
          <w:szCs w:val="32"/>
          <w:highlight w:val="none"/>
          <w:shd w:val="clear" w:color="auto" w:fill="FFFFFF"/>
          <w:lang w:val="zh-CN"/>
        </w:rPr>
        <w:t>部门（单位）概况</w:t>
      </w:r>
      <w:bookmarkEnd w:id="82"/>
    </w:p>
    <w:p>
      <w:pPr>
        <w:pStyle w:val="16"/>
        <w:widowControl/>
        <w:shd w:val="clear" w:color="auto" w:fill="FFFFFF"/>
        <w:spacing w:before="130" w:beforeAutospacing="0" w:after="0" w:afterAutospacing="0" w:line="580" w:lineRule="atLeast"/>
        <w:ind w:firstLine="674"/>
        <w:jc w:val="both"/>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主要职责为：负责辖区内经济社区发展、安全生产、信访维稳、房屋征收与补偿、计划生育、民政、劳动就业、社会保障、环境卫生等工作。</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下西坝街道机关现有在编人员13人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其中，公务员7人，工勤人员4人，事业干部2人，聘用人员20人。下设党政综合办公室（含财政所、党建办公室、目标绩效和督促检查办公室）、城市建设服务中心（含土地房屋征收拆迁办公室、国土所、物业管理办公室）、社会民生服务中心（含便民服务中心、劳动保障所、退役军人事务办公室、综合执法办公室、社会工作服务站）、社区发展中心（含农业站、统计站）、社区治理中心（含综合治理办公室、应急管理办公室）人民武装部、工会、团工委、妇联 。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1"/>
        <w:rPr>
          <w:rFonts w:hint="eastAsia" w:ascii="黑体" w:hAnsi="黑体" w:eastAsia="黑体" w:cs="黑体"/>
          <w:color w:val="auto"/>
          <w:kern w:val="0"/>
          <w:sz w:val="32"/>
          <w:szCs w:val="32"/>
          <w:highlight w:val="none"/>
          <w:shd w:val="clear" w:color="auto" w:fill="FFFFFF"/>
        </w:rPr>
      </w:pPr>
      <w:bookmarkStart w:id="83" w:name="_Toc19043"/>
      <w:r>
        <w:rPr>
          <w:rFonts w:hint="eastAsia" w:ascii="黑体" w:hAnsi="黑体" w:eastAsia="黑体" w:cs="黑体"/>
          <w:color w:val="auto"/>
          <w:kern w:val="0"/>
          <w:sz w:val="32"/>
          <w:szCs w:val="32"/>
          <w:highlight w:val="none"/>
          <w:shd w:val="clear" w:color="auto" w:fill="FFFFFF"/>
        </w:rPr>
        <w:t>二、部门财政资金收支情况</w:t>
      </w:r>
      <w:bookmarkEnd w:id="83"/>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（一）部门财政资金收入情况</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年部门财政资金收入</w:t>
      </w:r>
      <w:r>
        <w:rPr>
          <w:rFonts w:hint="eastAsia" w:ascii="仿宋_GB2312" w:hAnsi="仿宋_GB2312" w:eastAsia="仿宋_GB2312" w:cs="仿宋_GB2312"/>
          <w:color w:val="auto"/>
          <w:sz w:val="32"/>
          <w:szCs w:val="32"/>
          <w:highlight w:val="none"/>
          <w:lang w:val="en-US" w:eastAsia="zh-CN"/>
        </w:rPr>
        <w:t>1227.35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1158.61</w:t>
      </w:r>
      <w:r>
        <w:rPr>
          <w:rFonts w:hint="eastAsia" w:ascii="仿宋_GB2312" w:hAnsi="仿宋_GB2312" w:eastAsia="仿宋_GB2312" w:cs="仿宋_GB2312"/>
          <w:color w:val="auto"/>
          <w:sz w:val="32"/>
          <w:szCs w:val="32"/>
          <w:highlight w:val="none"/>
        </w:rPr>
        <w:t>万元，政府性基金收入</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万元，国有资本经营预算财政拨款收入</w:t>
      </w:r>
      <w:r>
        <w:rPr>
          <w:rFonts w:hint="eastAsia" w:ascii="仿宋_GB2312" w:hAnsi="仿宋_GB2312" w:eastAsia="仿宋_GB2312" w:cs="仿宋_GB2312"/>
          <w:color w:val="auto"/>
          <w:sz w:val="32"/>
          <w:szCs w:val="32"/>
          <w:highlight w:val="none"/>
          <w:lang w:val="en-US" w:eastAsia="zh-CN"/>
        </w:rPr>
        <w:t>60.74</w:t>
      </w:r>
      <w:r>
        <w:rPr>
          <w:rFonts w:hint="eastAsia" w:ascii="仿宋_GB2312" w:hAnsi="仿宋_GB2312" w:eastAsia="仿宋_GB2312" w:cs="仿宋_GB2312"/>
          <w:color w:val="auto"/>
          <w:sz w:val="32"/>
          <w:szCs w:val="32"/>
          <w:highlight w:val="none"/>
        </w:rPr>
        <w:t>万元。</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（二）部门财政资金支出情况</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年支出总计</w:t>
      </w:r>
      <w:r>
        <w:rPr>
          <w:rFonts w:hint="eastAsia" w:ascii="仿宋_GB2312" w:hAnsi="仿宋_GB2312" w:eastAsia="仿宋_GB2312" w:cs="仿宋_GB2312"/>
          <w:color w:val="auto"/>
          <w:sz w:val="32"/>
          <w:szCs w:val="32"/>
          <w:highlight w:val="none"/>
          <w:lang w:val="en-US" w:eastAsia="zh-CN"/>
        </w:rPr>
        <w:t>1227.35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271.24</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lang w:val="en-US" w:eastAsia="zh-CN"/>
        </w:rPr>
        <w:t>956.11</w:t>
      </w:r>
      <w:r>
        <w:rPr>
          <w:rFonts w:hint="eastAsia" w:ascii="仿宋_GB2312" w:hAnsi="仿宋_GB2312" w:eastAsia="仿宋_GB2312" w:cs="仿宋_GB2312"/>
          <w:color w:val="auto"/>
          <w:sz w:val="32"/>
          <w:szCs w:val="32"/>
          <w:highlight w:val="none"/>
        </w:rPr>
        <w:t>万元。</w:t>
      </w:r>
    </w:p>
    <w:p>
      <w:pPr>
        <w:numPr>
          <w:ilvl w:val="0"/>
          <w:numId w:val="5"/>
        </w:numPr>
        <w:spacing w:line="360" w:lineRule="auto"/>
        <w:ind w:left="-210" w:leftChars="-100" w:right="-210" w:rightChars="-100" w:firstLine="640" w:firstLineChars="200"/>
        <w:outlineLvl w:val="1"/>
        <w:rPr>
          <w:rFonts w:hint="eastAsia" w:ascii="黑体" w:hAnsi="黑体" w:eastAsia="黑体" w:cs="黑体"/>
          <w:color w:val="auto"/>
          <w:kern w:val="0"/>
          <w:sz w:val="32"/>
          <w:szCs w:val="32"/>
          <w:highlight w:val="none"/>
          <w:shd w:val="clear" w:color="auto" w:fill="FFFFFF"/>
        </w:rPr>
      </w:pPr>
      <w:bookmarkStart w:id="84" w:name="_Toc26117"/>
      <w:r>
        <w:rPr>
          <w:rFonts w:hint="eastAsia" w:ascii="黑体" w:hAnsi="黑体" w:eastAsia="黑体" w:cs="黑体"/>
          <w:color w:val="auto"/>
          <w:kern w:val="0"/>
          <w:sz w:val="32"/>
          <w:szCs w:val="32"/>
          <w:highlight w:val="none"/>
          <w:shd w:val="clear" w:color="auto" w:fill="FFFFFF"/>
        </w:rPr>
        <w:t>部门整体预算绩效管理情况</w:t>
      </w:r>
      <w:bookmarkEnd w:id="84"/>
    </w:p>
    <w:p>
      <w:pPr>
        <w:numPr>
          <w:ilvl w:val="0"/>
          <w:numId w:val="0"/>
        </w:numPr>
        <w:spacing w:line="360" w:lineRule="auto"/>
        <w:ind w:leftChars="100" w:right="-210" w:right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（一）部门预算项目绩效管理</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1.目标管理</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（1）目标制定</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年高标准、高质量完成了</w:t>
      </w:r>
      <w:r>
        <w:rPr>
          <w:rFonts w:hint="eastAsia" w:ascii="仿宋_GB2312" w:hAnsi="仿宋_GB2312" w:eastAsia="仿宋_GB2312" w:cs="仿宋_GB2312"/>
          <w:color w:val="auto"/>
          <w:sz w:val="32"/>
          <w:szCs w:val="32"/>
          <w:highlight w:val="none"/>
          <w:lang w:val="zh-CN"/>
        </w:rPr>
        <w:t>绩效目标制定</w:t>
      </w:r>
      <w:r>
        <w:rPr>
          <w:rFonts w:hint="eastAsia" w:ascii="仿宋_GB2312" w:hAnsi="仿宋_GB2312" w:eastAsia="仿宋_GB2312" w:cs="仿宋_GB2312"/>
          <w:color w:val="auto"/>
          <w:sz w:val="32"/>
          <w:szCs w:val="32"/>
          <w:highlight w:val="none"/>
        </w:rPr>
        <w:t>。做到了</w:t>
      </w:r>
      <w:r>
        <w:rPr>
          <w:rFonts w:hint="eastAsia" w:ascii="仿宋_GB2312" w:hAnsi="仿宋_GB2312" w:eastAsia="仿宋_GB2312" w:cs="仿宋_GB2312"/>
          <w:color w:val="auto"/>
          <w:sz w:val="32"/>
          <w:szCs w:val="32"/>
          <w:highlight w:val="none"/>
          <w:lang w:val="zh-CN"/>
        </w:rPr>
        <w:t>绩效目标制定</w:t>
      </w:r>
      <w:r>
        <w:rPr>
          <w:rFonts w:hint="eastAsia" w:ascii="仿宋_GB2312" w:hAnsi="仿宋_GB2312" w:eastAsia="仿宋_GB2312" w:cs="仿宋_GB2312"/>
          <w:color w:val="auto"/>
          <w:sz w:val="32"/>
          <w:szCs w:val="32"/>
          <w:highlight w:val="none"/>
        </w:rPr>
        <w:t>规范、完整无漏项，单位编制、人员情况与供养人员横向联网系统数据吻合，项目名称、绩效指标、项目内容说明等符合规范。细化量化了产出指标、效益指标等，反映了相应项目工作任务及效果。</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（2）目标实现</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一是人员类项目。按照规定标准及时足额发放工作人员工资薪酬，保障了工作有序开展，完成计划目标任务；</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二是机关运行经费项目。保障了单位日常运转。年初制定的运转保障率、预算准确率、三公经费空置率、科目调整次数等指标均完成；</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三是部门预算项目。总体完成较好，基本实现了预期目标。</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2.动态调整</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（1）支出控制。部门日常公用经费、项目支出中“办公费、印刷费、水费、电费、物管费”等科目年初预算数与决算数部分偏差。</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（2）及时处置。202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年按时完成预算绩效运行监控，将绩效监控结果应用到预算调整，合理安排预算执行进度，提高资金使用绩效。202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zh-CN"/>
        </w:rPr>
        <w:t>不涉及绩效监控调整取消额和结余注销额。</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（3）执行进度。</w:t>
      </w:r>
      <w:r>
        <w:rPr>
          <w:rFonts w:hint="eastAsia" w:ascii="仿宋_GB2312" w:hAnsi="仿宋_GB2312" w:eastAsia="仿宋_GB2312" w:cs="仿宋_GB2312"/>
          <w:color w:val="auto"/>
          <w:sz w:val="32"/>
          <w:szCs w:val="32"/>
          <w:highlight w:val="none"/>
          <w:lang w:val="zh-CN"/>
        </w:rPr>
        <w:t>部门预算资金在财政资金下拨后及时支出。</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3、完成效率</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（1）预算完成。202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年部门预算项目执行进度均达到100%。</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（2）资金结余率。202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年预算项目年末无结转结余。</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年度我单位未收到</w:t>
      </w:r>
      <w:r>
        <w:rPr>
          <w:rFonts w:hint="eastAsia" w:ascii="仿宋_GB2312" w:hAnsi="仿宋_GB2312" w:eastAsia="仿宋_GB2312" w:cs="仿宋_GB2312"/>
          <w:color w:val="auto"/>
          <w:sz w:val="32"/>
          <w:szCs w:val="32"/>
          <w:highlight w:val="none"/>
          <w:lang w:val="zh-CN"/>
        </w:rPr>
        <w:t>审计监督、财政检查反映单位上一年度部门预算管理不合规的情况，</w:t>
      </w:r>
      <w:r>
        <w:rPr>
          <w:rFonts w:hint="eastAsia" w:ascii="仿宋_GB2312" w:hAnsi="仿宋_GB2312" w:eastAsia="仿宋_GB2312" w:cs="仿宋_GB2312"/>
          <w:color w:val="auto"/>
          <w:sz w:val="32"/>
          <w:szCs w:val="32"/>
          <w:highlight w:val="none"/>
        </w:rPr>
        <w:t>未发现部门预算管理方面违纪违规问题。</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（二）专项项目预算</w:t>
      </w:r>
    </w:p>
    <w:p>
      <w:pPr>
        <w:spacing w:line="360" w:lineRule="auto"/>
        <w:ind w:left="210" w:leftChars="100" w:right="-210" w:rightChars="-100"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）专项预算项目均完成预期绩效目标。</w:t>
      </w:r>
    </w:p>
    <w:p>
      <w:pPr>
        <w:numPr>
          <w:ilvl w:val="0"/>
          <w:numId w:val="0"/>
        </w:numPr>
        <w:spacing w:line="360" w:lineRule="auto"/>
        <w:ind w:leftChars="100" w:right="-210" w:right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结果运用公开情况</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1、内部应用</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我单位尚未</w:t>
      </w:r>
      <w:r>
        <w:rPr>
          <w:rFonts w:hint="eastAsia" w:ascii="仿宋_GB2312" w:hAnsi="仿宋_GB2312" w:eastAsia="仿宋_GB2312" w:cs="仿宋_GB2312"/>
          <w:color w:val="auto"/>
          <w:sz w:val="32"/>
          <w:szCs w:val="32"/>
          <w:highlight w:val="none"/>
          <w:lang w:val="zh-CN"/>
        </w:rPr>
        <w:t>将内设机构绩效自评纳入考核体系，也无与绩效挂钩机制。</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2.信息公开</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按照财政部门的管理要求，我单位将部门整体绩效自评情况和自行组织的评价情况通过政务外网随同单位决算向社会公开。</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3.整改反馈</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无需要整改反馈事项。</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）自评质量</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我单位自评得分</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分，自评结果较为真实准确的反映了我单位202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年部门整体支出绩效情况，自评工作总体质量较好。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1"/>
        <w:rPr>
          <w:rFonts w:hint="eastAsia" w:ascii="黑体" w:hAnsi="黑体" w:eastAsia="黑体" w:cs="黑体"/>
          <w:color w:val="auto"/>
          <w:kern w:val="0"/>
          <w:sz w:val="32"/>
          <w:szCs w:val="32"/>
          <w:highlight w:val="none"/>
          <w:shd w:val="clear" w:color="auto" w:fill="FFFFFF"/>
        </w:rPr>
      </w:pPr>
      <w:bookmarkStart w:id="85" w:name="_Toc11743"/>
      <w:r>
        <w:rPr>
          <w:rFonts w:hint="eastAsia" w:ascii="黑体" w:hAnsi="黑体" w:eastAsia="黑体" w:cs="黑体"/>
          <w:color w:val="auto"/>
          <w:kern w:val="0"/>
          <w:sz w:val="32"/>
          <w:szCs w:val="32"/>
          <w:highlight w:val="none"/>
          <w:shd w:val="clear" w:color="auto" w:fill="FFFFFF"/>
        </w:rPr>
        <w:t>四、评价结论及建议</w:t>
      </w:r>
      <w:bookmarkEnd w:id="85"/>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（一）评价结论</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年我单位整体支出效果良好，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年绩效目标设置明确、预算编制较准确、项目预算执行较好</w:t>
      </w:r>
      <w:r>
        <w:rPr>
          <w:rFonts w:hint="eastAsia" w:ascii="仿宋_GB2312" w:hAnsi="仿宋_GB2312" w:eastAsia="仿宋_GB2312" w:cs="仿宋_GB2312"/>
          <w:color w:val="auto"/>
          <w:sz w:val="32"/>
          <w:szCs w:val="32"/>
          <w:highlight w:val="none"/>
          <w:lang w:val="zh-CN"/>
        </w:rPr>
        <w:t>，基本按照计划完成年度工作任务，实现了年度绩效目标，目标设置明确、预算编制较准确。预算执行过程中开展绩效监控，年终开展了绩效自评。预算绩效管理工作取得了明显成效。</w:t>
      </w:r>
    </w:p>
    <w:p>
      <w:pPr>
        <w:numPr>
          <w:ilvl w:val="0"/>
          <w:numId w:val="6"/>
        </w:num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存在问题</w:t>
      </w:r>
    </w:p>
    <w:p>
      <w:pPr>
        <w:spacing w:line="360" w:lineRule="auto"/>
        <w:ind w:left="210" w:leftChars="100" w:right="-210" w:right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未建立内部绩效考核机制。</w:t>
      </w:r>
    </w:p>
    <w:p>
      <w:pPr>
        <w:spacing w:line="360" w:lineRule="auto"/>
        <w:ind w:left="-210" w:leftChars="-100" w:right="-210" w:rightChars="-100" w:firstLine="640" w:firstLineChars="200"/>
        <w:rPr>
          <w:rFonts w:hint="eastAsia" w:ascii="仿宋_GB2312" w:hAnsi="仿宋_GB2312" w:eastAsia="仿宋_GB2312" w:cs="仿宋_GB2312"/>
          <w:color w:val="auto"/>
          <w:sz w:val="32"/>
          <w:szCs w:val="32"/>
          <w:highlight w:val="none"/>
        </w:rPr>
      </w:pPr>
      <w:bookmarkStart w:id="86" w:name="bookmark28"/>
      <w:r>
        <w:rPr>
          <w:rFonts w:hint="eastAsia" w:ascii="仿宋_GB2312" w:hAnsi="仿宋_GB2312" w:eastAsia="仿宋_GB2312" w:cs="仿宋_GB2312"/>
          <w:color w:val="auto"/>
          <w:sz w:val="32"/>
          <w:szCs w:val="32"/>
          <w:highlight w:val="none"/>
        </w:rPr>
        <w:t>（</w:t>
      </w:r>
      <w:bookmarkEnd w:id="86"/>
      <w:r>
        <w:rPr>
          <w:rFonts w:hint="eastAsia" w:ascii="仿宋_GB2312" w:hAnsi="仿宋_GB2312" w:eastAsia="仿宋_GB2312" w:cs="仿宋_GB2312"/>
          <w:color w:val="auto"/>
          <w:sz w:val="32"/>
          <w:szCs w:val="32"/>
          <w:highlight w:val="none"/>
        </w:rPr>
        <w:t>三）改进建议</w:t>
      </w: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今后建立内部机构绩效考核机制，加大内设机构绩效自评与预算挂钩力度，奖优罚劣，提高财政资金支出绩效。</w:t>
      </w: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br w:type="page"/>
      </w:r>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专项预算项目绩效评价报告</w:t>
      </w:r>
    </w:p>
    <w:p>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微软雅黑" w:hAnsi="宋体" w:eastAsia="微软雅黑"/>
          <w:sz w:val="44"/>
          <w:szCs w:val="44"/>
        </w:rPr>
      </w:pPr>
      <w:r>
        <w:rPr>
          <w:rFonts w:hint="eastAsia" w:ascii="微软雅黑" w:hAnsi="宋体" w:eastAsia="微软雅黑"/>
          <w:sz w:val="44"/>
          <w:szCs w:val="44"/>
          <w:lang w:val="en-US" w:eastAsia="zh-CN"/>
        </w:rPr>
        <w:t>下西现代产成融和园攻坚指挥部运行工作经费</w:t>
      </w:r>
      <w:r>
        <w:rPr>
          <w:rFonts w:hint="eastAsia" w:ascii="微软雅黑" w:hAnsi="宋体" w:eastAsia="微软雅黑"/>
          <w:sz w:val="44"/>
          <w:szCs w:val="44"/>
        </w:rPr>
        <w:t>项目支出绩效自评报告</w:t>
      </w:r>
    </w:p>
    <w:p>
      <w:pPr>
        <w:pStyle w:val="4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现将我下西现代产成融和园攻坚指挥部运行工作经费项目支出绩效自评报告如下。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下西坝办事处园区指挥部2021年在区党工委的安排下成立。主要任务聚力项目和产业攻坚，巩固和增强经济回升。根据上年经费支出情况，2023年下西坝园区指挥部工作经费申报预算共计70万元</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完成招商引资项目3个以上</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聚力企业培育增质效。紧盯年度进规入统目标，抓好在园企业运营和培育工作，协助企业拓市场、创品牌、增销量。努力推动园区部分企业和字节调动公司合作，利用平台优势占领市场。力争实现两家企业进规入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2023年我办申报项目经费共计50万元。经财政审核后上报预算。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70万元。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我办按年初目标主要支付宣传费、招商引资差旅费、园区指挥部日常运行办公费、电费、水费等。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Calibri" w:eastAsia="仿宋_GB2312" w:cs="Times New Roman"/>
          <w:b w:val="0"/>
          <w:bCs w:val="0"/>
          <w:sz w:val="32"/>
          <w:szCs w:val="32"/>
        </w:rPr>
        <w:t>全年入库项目9个，总投资10亿元。分别是精卫中心康复楼建设项目3.33亿元；翡翠滨江项目4.07亿元；雨坛山森林公园项目0.46亿元；下西光亮工程项目0.2亿元；下西电缆通道建设项目0.25亿元；温泉管网建设项目0.42亿元；驰天青年广场项目0.15亿元；希尔顿酒店改建项目0.77亿元；商贸城宴会中心改造工程0.45亿元。</w:t>
      </w:r>
      <w:r>
        <w:rPr>
          <w:rFonts w:hint="eastAsia" w:ascii="仿宋_GB2312" w:hAnsi="仿宋_GB2312" w:eastAsia="仿宋_GB2312" w:cs="仿宋_GB2312"/>
          <w:b w:val="0"/>
          <w:bCs w:val="0"/>
          <w:sz w:val="32"/>
          <w:szCs w:val="32"/>
        </w:rPr>
        <w:t>园区规模以上工业企业实现生产产值39.9亿元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全年共培育5家四上企业，其中规模以上工业1家，限上批零住餐2家，规上服务业2家。分别是广元市三江新诚建材有限公司进入规上工业；国际商贸城有限公司和四川铜锤网络有限责任公司进入规上服务业；广元市三江新区贸易有限公司和广元市怡飞商贸有限公司进入限上批零住餐业。同时，全力培育广元鑫龙食品有限公司、广耀玻璃、维多利亚精品酒店尽快进规上限，积极做好佳威运输等4家服务业企业，好又多购物中心、尧德商贸等5家批零住餐企业申报工作。</w:t>
      </w:r>
    </w:p>
    <w:p>
      <w:pPr>
        <w:pStyle w:val="15"/>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40" w:firstLineChars="0"/>
        <w:jc w:val="both"/>
        <w:textAlignment w:val="auto"/>
        <w:rPr>
          <w:rFonts w:hint="default" w:ascii="仿宋_GB2312" w:hAnsi="仿宋_GB2312" w:eastAsia="仿宋_GB2312" w:cs="仿宋_GB2312"/>
          <w:sz w:val="32"/>
          <w:szCs w:val="36"/>
          <w:lang w:val="en-US" w:eastAsia="zh-CN"/>
        </w:rPr>
      </w:pPr>
    </w:p>
    <w:p>
      <w:pPr>
        <w:pStyle w:val="15"/>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40" w:firstLineChars="0"/>
        <w:jc w:val="both"/>
        <w:textAlignment w:val="auto"/>
        <w:rPr>
          <w:rFonts w:hint="default" w:ascii="仿宋_GB2312" w:hAnsi="仿宋_GB2312" w:eastAsia="仿宋_GB2312" w:cs="仿宋_GB2312"/>
          <w:sz w:val="32"/>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b w:val="0"/>
          <w:bCs w:val="0"/>
          <w:sz w:val="32"/>
          <w:szCs w:val="32"/>
          <w:lang w:val="zh-CN"/>
        </w:rPr>
        <w:t>招商引资难度大。由于下西片区概念性规划还未出台，整体产业布局和城市开发缺乏纲领性指引，加之下西划为主城区，以招引总部经济、商贸服务业、城市建设为主，现经济下行，很多企业轻资产投资，招商项目优惠政策不明显，签约落地较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楷体_GB2312" w:hAnsi="楷体_GB2312" w:eastAsia="楷体_GB2312" w:cs="楷体_GB2312"/>
          <w:b w:val="0"/>
          <w:bCs w:val="0"/>
          <w:sz w:val="32"/>
          <w:szCs w:val="32"/>
          <w:lang w:val="zh-CN"/>
        </w:rPr>
        <w:t xml:space="preserve"> （二）相关建议。</w:t>
      </w:r>
      <w:r>
        <w:rPr>
          <w:rFonts w:hint="eastAsia" w:ascii="仿宋_GB2312" w:hAnsi="仿宋_GB2312" w:eastAsia="仿宋_GB2312" w:cs="仿宋_GB2312"/>
          <w:sz w:val="32"/>
          <w:szCs w:val="36"/>
          <w:lang w:val="en-US" w:eastAsia="zh-CN"/>
        </w:rPr>
        <w:t>扎实开展好各项稳企纾困行动，切实解决好企业在产业配套、市场拓展、用能保障、产权办证等方面的难点痛点，让企业家坚定信心施展抱负，轻装上阵做大做强。</w:t>
      </w:r>
    </w:p>
    <w:p/>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微软雅黑" w:hAnsi="宋体" w:eastAsia="微软雅黑"/>
          <w:sz w:val="44"/>
          <w:szCs w:val="44"/>
        </w:rPr>
      </w:pPr>
      <w:r>
        <w:rPr>
          <w:rFonts w:hint="eastAsia" w:ascii="微软雅黑" w:hAnsi="宋体" w:eastAsia="微软雅黑"/>
          <w:sz w:val="44"/>
          <w:szCs w:val="44"/>
          <w:lang w:val="en-US"/>
        </w:rPr>
        <w:t>202</w:t>
      </w:r>
      <w:r>
        <w:rPr>
          <w:rFonts w:ascii="微软雅黑" w:hAnsi="宋体" w:eastAsia="微软雅黑"/>
          <w:sz w:val="44"/>
          <w:szCs w:val="44"/>
          <w:lang w:val="en-US"/>
        </w:rPr>
        <w:t>3</w:t>
      </w:r>
      <w:r>
        <w:rPr>
          <w:rFonts w:hint="eastAsia" w:ascii="微软雅黑" w:hAnsi="宋体" w:eastAsia="微软雅黑"/>
          <w:sz w:val="44"/>
          <w:szCs w:val="44"/>
          <w:lang w:val="en-US"/>
        </w:rPr>
        <w:t>年</w:t>
      </w:r>
      <w:r>
        <w:rPr>
          <w:rFonts w:hint="eastAsia" w:ascii="微软雅黑" w:hAnsi="宋体" w:eastAsia="微软雅黑"/>
          <w:sz w:val="44"/>
          <w:szCs w:val="44"/>
          <w:lang w:val="en-US" w:eastAsia="zh-CN"/>
        </w:rPr>
        <w:t>下西伙食</w:t>
      </w:r>
      <w:r>
        <w:rPr>
          <w:rFonts w:hint="eastAsia" w:ascii="微软雅黑" w:hAnsi="宋体" w:eastAsia="微软雅黑"/>
          <w:sz w:val="44"/>
          <w:szCs w:val="44"/>
          <w:lang w:val="en-US"/>
        </w:rPr>
        <w:t>补助经费</w:t>
      </w:r>
      <w:r>
        <w:rPr>
          <w:rFonts w:hint="eastAsia" w:ascii="微软雅黑" w:hAnsi="宋体" w:eastAsia="微软雅黑"/>
          <w:sz w:val="44"/>
          <w:szCs w:val="44"/>
        </w:rPr>
        <w:t>项目支出绩效自评报告</w:t>
      </w:r>
    </w:p>
    <w:p>
      <w:pPr>
        <w:pStyle w:val="4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下西伙食补助经费项目支出绩效自评报告如下。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下西坝办事处设独立伙食团一个，保障下西园区指挥部工作人员、办事处职工及共计40余人工作日中午用餐。下西办事处按人均300元，申请预算补助11.88万元，</w:t>
      </w:r>
      <w:r>
        <w:rPr>
          <w:rFonts w:hint="eastAsia" w:ascii="仿宋_GB2312" w:hAnsi="仿宋_GB2312" w:eastAsia="仿宋_GB2312" w:cs="仿宋_GB2312"/>
          <w:color w:val="000000"/>
          <w:sz w:val="32"/>
          <w:szCs w:val="32"/>
          <w:highlight w:val="none"/>
          <w:lang w:val="en-US" w:eastAsia="zh-CN"/>
        </w:rPr>
        <w:t>批复预算11.88万元。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保障下西坝办事处机关工作正常运行，后勤保障提供有力保证，为干部职工节约时间。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2023年我办申报项目经费11.88万元。经财政审核后上报预算。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color w:val="000000"/>
          <w:sz w:val="32"/>
          <w:szCs w:val="32"/>
          <w:highlight w:val="none"/>
          <w:lang w:val="en-US" w:eastAsia="zh-CN"/>
        </w:rPr>
        <w:t>批复预算下达我办资金9.36万元。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我办按年初目标支付职工伙食团购食材、电费、水费及燃气费。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项目由财政所负责，每日由专人负责食堂管理及采购工作，专人进行食材验收等工作。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通过对职工后勤保障，为职工提供较好工作环境，提高职工工作积极性，同时为职工每日节约时间2小时。职工满意度较好。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pPr>
        <w:pStyle w:val="12"/>
        <w:ind w:firstLine="640" w:firstLineChars="200"/>
        <w:jc w:val="left"/>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微软雅黑" w:hAnsi="宋体" w:eastAsia="微软雅黑"/>
          <w:sz w:val="36"/>
          <w:szCs w:val="36"/>
        </w:rPr>
      </w:pPr>
      <w:r>
        <w:rPr>
          <w:rFonts w:hint="eastAsia" w:ascii="微软雅黑" w:hAnsi="宋体" w:eastAsia="微软雅黑"/>
          <w:sz w:val="36"/>
          <w:szCs w:val="36"/>
          <w:lang w:val="en-US"/>
        </w:rPr>
        <w:t>202</w:t>
      </w:r>
      <w:r>
        <w:rPr>
          <w:rFonts w:ascii="微软雅黑" w:hAnsi="宋体" w:eastAsia="微软雅黑"/>
          <w:sz w:val="36"/>
          <w:szCs w:val="36"/>
          <w:lang w:val="en-US"/>
        </w:rPr>
        <w:t>3</w:t>
      </w:r>
      <w:r>
        <w:rPr>
          <w:rFonts w:hint="eastAsia" w:ascii="微软雅黑" w:hAnsi="宋体" w:eastAsia="微软雅黑"/>
          <w:sz w:val="36"/>
          <w:szCs w:val="36"/>
          <w:lang w:val="en-US"/>
        </w:rPr>
        <w:t>年</w:t>
      </w:r>
      <w:r>
        <w:rPr>
          <w:rFonts w:hint="eastAsia" w:ascii="微软雅黑" w:hAnsi="宋体" w:eastAsia="微软雅黑"/>
          <w:sz w:val="36"/>
          <w:szCs w:val="36"/>
          <w:lang w:val="en-US" w:eastAsia="zh-CN"/>
        </w:rPr>
        <w:t>下西</w:t>
      </w:r>
      <w:r>
        <w:rPr>
          <w:rFonts w:hint="eastAsia" w:ascii="微软雅黑" w:hAnsi="宋体" w:eastAsia="微软雅黑"/>
          <w:sz w:val="36"/>
          <w:szCs w:val="36"/>
          <w:lang w:val="en-US"/>
        </w:rPr>
        <w:t>城乡环境治理</w:t>
      </w:r>
      <w:r>
        <w:rPr>
          <w:rFonts w:hint="eastAsia" w:ascii="微软雅黑" w:hAnsi="宋体" w:eastAsia="微软雅黑"/>
          <w:sz w:val="36"/>
          <w:szCs w:val="36"/>
          <w:lang w:val="en-US" w:eastAsia="zh-CN"/>
        </w:rPr>
        <w:t>经费</w:t>
      </w:r>
      <w:r>
        <w:rPr>
          <w:rFonts w:hint="eastAsia" w:ascii="微软雅黑" w:hAnsi="宋体" w:eastAsia="微软雅黑"/>
          <w:sz w:val="36"/>
          <w:szCs w:val="36"/>
        </w:rPr>
        <w:t>项目支出绩效自评报告</w:t>
      </w:r>
    </w:p>
    <w:p>
      <w:pPr>
        <w:pStyle w:val="4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下西城乡环境治理经费项目支出绩效自评报告如下。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下西坝办事处职能简介负责辖区内企业服务、安全生产、信访维稳、房屋征收与补偿、计划生育、民政、劳动就业、社会保障、环境卫生等工作。根据上年经费支出情况，2023年下西坝城乡环境综合治理10万元</w:t>
      </w:r>
      <w:r>
        <w:rPr>
          <w:rFonts w:hint="eastAsia" w:ascii="仿宋_GB2312" w:hAnsi="仿宋_GB2312" w:eastAsia="仿宋_GB2312" w:cs="仿宋_GB2312"/>
          <w:b w:val="0"/>
          <w:bCs w:val="0"/>
          <w:sz w:val="32"/>
          <w:szCs w:val="32"/>
          <w:lang w:val="en-US" w:eastAsia="zh-CN"/>
        </w:rPr>
        <w:t>，批复共计预算,10万元。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ascii="仿宋_GB2312" w:eastAsia="仿宋_GB2312" w:cs="仿宋_GB2312"/>
          <w:sz w:val="32"/>
          <w:szCs w:val="32"/>
        </w:rPr>
        <w:t>扎实开展生态环境保护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开展宣传不少于4次</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eastAsia="仿宋_GB2312" w:cs="仿宋_GB2312"/>
          <w:sz w:val="32"/>
          <w:szCs w:val="32"/>
          <w:lang w:val="en-US" w:eastAsia="zh-CN"/>
        </w:rPr>
        <w:t>开展全办环境卫生检查整治10次以上，对辖区灭虫害消杀不少于4次。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ascii="仿宋_GB2312" w:eastAsia="仿宋_GB2312" w:cs="仿宋_GB2312"/>
          <w:sz w:val="32"/>
          <w:szCs w:val="32"/>
        </w:rPr>
        <w:t>持续</w:t>
      </w:r>
      <w:r>
        <w:rPr>
          <w:rFonts w:hint="eastAsia" w:ascii="仿宋_GB2312" w:eastAsia="仿宋_GB2312" w:cs="仿宋_GB2312"/>
          <w:sz w:val="32"/>
          <w:szCs w:val="32"/>
          <w:lang w:val="en-US" w:eastAsia="zh-CN"/>
        </w:rPr>
        <w:t>做好</w:t>
      </w:r>
      <w:r>
        <w:rPr>
          <w:rFonts w:ascii="仿宋_GB2312" w:eastAsia="仿宋_GB2312" w:cs="仿宋_GB2312"/>
          <w:sz w:val="32"/>
          <w:szCs w:val="32"/>
        </w:rPr>
        <w:t>第三轮生态环境问题</w:t>
      </w:r>
      <w:r>
        <w:rPr>
          <w:rFonts w:hint="eastAsia" w:ascii="仿宋_GB2312" w:eastAsia="仿宋_GB2312" w:cs="仿宋_GB2312"/>
          <w:sz w:val="32"/>
          <w:szCs w:val="32"/>
          <w:lang w:eastAsia="zh-CN"/>
        </w:rPr>
        <w:t>“</w:t>
      </w:r>
      <w:r>
        <w:rPr>
          <w:rFonts w:ascii="仿宋_GB2312" w:eastAsia="仿宋_GB2312" w:cs="仿宋_GB2312"/>
          <w:sz w:val="32"/>
          <w:szCs w:val="32"/>
        </w:rPr>
        <w:t>大排查大整治</w:t>
      </w:r>
      <w:r>
        <w:rPr>
          <w:rFonts w:hint="eastAsia" w:ascii="仿宋_GB2312" w:eastAsia="仿宋_GB2312" w:cs="仿宋_GB2312"/>
          <w:sz w:val="32"/>
          <w:szCs w:val="32"/>
          <w:lang w:eastAsia="zh-CN"/>
        </w:rPr>
        <w:t>”</w:t>
      </w:r>
      <w:r>
        <w:rPr>
          <w:rFonts w:ascii="仿宋_GB2312" w:eastAsia="仿宋_GB2312" w:cs="仿宋_GB2312"/>
          <w:sz w:val="32"/>
          <w:szCs w:val="32"/>
        </w:rPr>
        <w:t>，全力做好中央和省级第三轮环保督察工作。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2023年我办申报项目经费共计10万元。经财政审核后批复预算。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color w:val="000000"/>
          <w:sz w:val="32"/>
          <w:szCs w:val="32"/>
          <w:highlight w:val="none"/>
          <w:lang w:val="en-US" w:eastAsia="zh-CN"/>
        </w:rPr>
        <w:t>下达我办资金10万元。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我办按年初目标主要支付宣传费、灭四害药品费用和差旅费。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项目由社会民生服务中心负责，全年发放宣传传单10000余份，制作绿色出行年画5000余份，购买环卫工具1批次，专人负责灭四害</w:t>
      </w:r>
      <w:r>
        <w:rPr>
          <w:rFonts w:hint="eastAsia" w:ascii="仿宋_GB2312" w:eastAsia="仿宋_GB2312" w:cs="仿宋_GB2312"/>
          <w:sz w:val="32"/>
          <w:szCs w:val="32"/>
          <w:lang w:val="en-US" w:eastAsia="zh-CN"/>
        </w:rPr>
        <w:t>4次</w:t>
      </w:r>
      <w:r>
        <w:rPr>
          <w:rFonts w:hint="eastAsia" w:ascii="仿宋_GB2312" w:hAnsi="仿宋_GB2312" w:eastAsia="仿宋_GB2312" w:cs="仿宋_GB2312"/>
          <w:b w:val="0"/>
          <w:bCs w:val="0"/>
          <w:sz w:val="32"/>
          <w:szCs w:val="32"/>
          <w:lang w:val="en-US" w:eastAsia="zh-CN"/>
        </w:rPr>
        <w:t>，</w:t>
      </w:r>
      <w:r>
        <w:rPr>
          <w:rFonts w:hint="eastAsia" w:ascii="仿宋_GB2312" w:eastAsia="仿宋_GB2312" w:cs="仿宋_GB2312"/>
          <w:sz w:val="32"/>
          <w:szCs w:val="32"/>
          <w:lang w:val="en-US" w:eastAsia="zh-CN"/>
        </w:rPr>
        <w:t>环境卫生检查整治10次</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highlight w:val="none"/>
          <w:lang w:eastAsia="zh-CN"/>
        </w:rPr>
        <w:t>完成了宣传资料的制作</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b w:val="0"/>
          <w:bCs w:val="0"/>
          <w:sz w:val="32"/>
          <w:szCs w:val="32"/>
          <w:lang w:val="en-US" w:eastAsia="zh-CN"/>
        </w:rPr>
        <w:t>全年发放环境保护、绿色出行宣传传单15000余份，全年开展环境整治10余次。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通过宣传，提升辖区90%居民环境保护意识，通过党员义工等活动，群众参与环境卫生整治，改善辖区居住环境。群众满意度良好。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b w:val="0"/>
          <w:bCs w:val="0"/>
          <w:sz w:val="32"/>
          <w:szCs w:val="32"/>
          <w:lang w:val="en-US" w:eastAsia="zh-CN"/>
        </w:rPr>
        <w:t>整体环境垃圾处理还需改善。</w:t>
      </w:r>
    </w:p>
    <w:p>
      <w:pPr>
        <w:pStyle w:val="12"/>
        <w:ind w:firstLine="640" w:firstLineChars="200"/>
        <w:jc w:val="left"/>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微软雅黑" w:hAnsi="宋体" w:eastAsia="微软雅黑"/>
          <w:sz w:val="44"/>
          <w:szCs w:val="44"/>
        </w:rPr>
      </w:pPr>
      <w:r>
        <w:rPr>
          <w:rFonts w:hint="eastAsia" w:ascii="微软雅黑" w:hAnsi="宋体" w:eastAsia="微软雅黑"/>
          <w:sz w:val="44"/>
          <w:szCs w:val="44"/>
          <w:lang w:val="en-US"/>
        </w:rPr>
        <w:t>下西森林防火工作经费</w:t>
      </w:r>
      <w:r>
        <w:rPr>
          <w:rFonts w:hint="eastAsia" w:ascii="微软雅黑" w:hAnsi="宋体" w:eastAsia="微软雅黑"/>
          <w:sz w:val="44"/>
          <w:szCs w:val="44"/>
          <w:lang w:val="en-US" w:eastAsia="zh-CN"/>
        </w:rPr>
        <w:t>、防汛</w:t>
      </w:r>
      <w:r>
        <w:rPr>
          <w:rFonts w:hint="eastAsia" w:ascii="微软雅黑" w:hAnsi="宋体" w:eastAsia="微软雅黑"/>
          <w:sz w:val="44"/>
          <w:szCs w:val="44"/>
          <w:lang w:val="en-US"/>
        </w:rPr>
        <w:t>工作经费</w:t>
      </w:r>
      <w:r>
        <w:rPr>
          <w:rFonts w:hint="eastAsia" w:ascii="微软雅黑" w:hAnsi="宋体" w:eastAsia="微软雅黑"/>
          <w:sz w:val="44"/>
          <w:szCs w:val="44"/>
          <w:lang w:val="en-US" w:eastAsia="zh-CN"/>
        </w:rPr>
        <w:t>、下西安全管理、社区发展治理经费</w:t>
      </w:r>
      <w:r>
        <w:rPr>
          <w:rFonts w:hint="eastAsia" w:ascii="微软雅黑" w:hAnsi="宋体" w:eastAsia="微软雅黑"/>
          <w:sz w:val="44"/>
          <w:szCs w:val="44"/>
        </w:rPr>
        <w:t>项目支出</w:t>
      </w:r>
      <w:r>
        <w:rPr>
          <w:rFonts w:hint="eastAsia" w:ascii="微软雅黑" w:hAnsi="宋体" w:eastAsia="微软雅黑"/>
          <w:sz w:val="44"/>
          <w:szCs w:val="44"/>
          <w:lang w:eastAsia="zh-CN"/>
        </w:rPr>
        <w:t>绩效</w:t>
      </w:r>
      <w:r>
        <w:rPr>
          <w:rFonts w:hint="eastAsia" w:ascii="微软雅黑" w:hAnsi="宋体" w:eastAsia="微软雅黑"/>
          <w:sz w:val="44"/>
          <w:szCs w:val="44"/>
        </w:rPr>
        <w:t>自评报告</w:t>
      </w:r>
    </w:p>
    <w:p>
      <w:pPr>
        <w:pStyle w:val="4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下西森林防火工作经费、下西安全监管经费项目支出绩效自评报告如下。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下西办事处职责为：辖区内经济社区发展、安全生产、森林防火、防汛、信访维稳、房屋征收与补偿、计划生育、民政、劳动就业、社会保障、环境卫生等工作。2023年我办根据上年经费使用申报预算防火经费2万元、防汛经费1万元、安全监管经费4.5万元，批复预算7.5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全年完成森林防火、防汛检查150天、安全生产工作检查、隐患排查约20余次。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2023年我办申报项目经费7.5万元。经财政审核后上报预算。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color w:val="000000"/>
          <w:sz w:val="32"/>
          <w:szCs w:val="32"/>
          <w:highlight w:val="none"/>
          <w:lang w:val="en-US" w:eastAsia="zh-CN"/>
        </w:rPr>
        <w:t>下达我办资金5万元。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我办按年初目标主要支付办公费，森林防火、防汛宣传费、安全宣传费、隐患排查费、差旅费。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项目由安全办公室负责，全年发放安全宣传传单2000余份、展板制作2块，人员劳务费等30余次。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完成了宣传资料的制作、安装、发放，安装交通</w:t>
      </w:r>
      <w:r>
        <w:rPr>
          <w:rFonts w:hint="eastAsia" w:ascii="仿宋_GB2312" w:hAnsi="仿宋_GB2312" w:eastAsia="仿宋_GB2312" w:cs="仿宋_GB2312"/>
          <w:b w:val="0"/>
          <w:bCs w:val="0"/>
          <w:sz w:val="32"/>
          <w:szCs w:val="32"/>
          <w:lang w:val="en-US" w:eastAsia="zh-CN"/>
        </w:rPr>
        <w:t>凹凸镜2个</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在道路交通、消防及森林防火、</w:t>
      </w:r>
      <w:r>
        <w:rPr>
          <w:rFonts w:hint="eastAsia" w:ascii="仿宋_GB2312" w:hAnsi="仿宋_GB2312" w:eastAsia="仿宋_GB2312" w:cs="仿宋_GB2312"/>
          <w:color w:val="000000"/>
          <w:sz w:val="32"/>
          <w:szCs w:val="32"/>
          <w:highlight w:val="none"/>
          <w:lang w:val="en-US" w:eastAsia="zh-CN"/>
        </w:rPr>
        <w:t>防汛、</w:t>
      </w:r>
      <w:r>
        <w:rPr>
          <w:rFonts w:hint="eastAsia" w:ascii="仿宋_GB2312" w:hAnsi="仿宋_GB2312" w:eastAsia="仿宋_GB2312" w:cs="仿宋_GB2312"/>
          <w:color w:val="000000"/>
          <w:sz w:val="32"/>
          <w:szCs w:val="32"/>
          <w:highlight w:val="none"/>
        </w:rPr>
        <w:t>企业生产、社会治安等领域策划20余个安全促进项目，协调区级相关部门、交通管理部门、教育部门、企事业单位共同参与辖区</w:t>
      </w:r>
      <w:r>
        <w:rPr>
          <w:rFonts w:hint="eastAsia" w:ascii="仿宋_GB2312" w:hAnsi="仿宋_GB2312" w:eastAsia="仿宋_GB2312" w:cs="仿宋_GB2312"/>
          <w:color w:val="000000"/>
          <w:sz w:val="32"/>
          <w:szCs w:val="32"/>
          <w:highlight w:val="none"/>
          <w:lang w:val="en-US" w:eastAsia="zh-CN"/>
        </w:rPr>
        <w:t>安全工作，</w:t>
      </w:r>
      <w:r>
        <w:rPr>
          <w:rFonts w:hint="eastAsia" w:ascii="仿宋_GB2312" w:hAnsi="仿宋_GB2312" w:eastAsia="仿宋_GB2312" w:cs="仿宋_GB2312"/>
          <w:color w:val="000000"/>
          <w:sz w:val="32"/>
          <w:szCs w:val="32"/>
          <w:highlight w:val="none"/>
        </w:rPr>
        <w:t>开展了安全专题宣传</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场次，消除各类隐患</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全年各种安全检查300余人次。</w:t>
      </w:r>
      <w:r>
        <w:rPr>
          <w:rFonts w:hint="eastAsia" w:ascii="仿宋_GB2312" w:hAnsi="仿宋_GB2312" w:eastAsia="仿宋_GB2312" w:cs="仿宋_GB2312"/>
          <w:color w:val="000000"/>
          <w:sz w:val="32"/>
          <w:szCs w:val="32"/>
          <w:highlight w:val="none"/>
          <w:lang w:eastAsia="zh-CN"/>
        </w:rPr>
        <w:t>下西坝</w:t>
      </w:r>
      <w:r>
        <w:rPr>
          <w:rFonts w:hint="eastAsia" w:ascii="仿宋_GB2312" w:hAnsi="仿宋_GB2312" w:eastAsia="仿宋_GB2312" w:cs="仿宋_GB2312"/>
          <w:color w:val="000000"/>
          <w:sz w:val="32"/>
          <w:szCs w:val="32"/>
          <w:highlight w:val="none"/>
        </w:rPr>
        <w:t>街道辖区安全生产环境不断改善，各类事故指数不断下降，交通安全事故下降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消防事故下降、社会治安案件下降、生产安全事故下降，努力营造了</w:t>
      </w:r>
      <w:r>
        <w:rPr>
          <w:rFonts w:hint="eastAsia" w:ascii="仿宋_GB2312" w:hAnsi="仿宋_GB2312" w:eastAsia="仿宋_GB2312" w:cs="仿宋_GB2312"/>
          <w:color w:val="000000"/>
          <w:sz w:val="32"/>
          <w:szCs w:val="32"/>
          <w:highlight w:val="none"/>
          <w:lang w:eastAsia="zh-CN"/>
        </w:rPr>
        <w:t>下西</w:t>
      </w:r>
      <w:r>
        <w:rPr>
          <w:rFonts w:hint="eastAsia" w:ascii="仿宋_GB2312" w:hAnsi="仿宋_GB2312" w:eastAsia="仿宋_GB2312" w:cs="仿宋_GB2312"/>
          <w:color w:val="000000"/>
          <w:sz w:val="32"/>
          <w:szCs w:val="32"/>
          <w:highlight w:val="none"/>
        </w:rPr>
        <w:t>辖区安居乐业的良好安全环境。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pPr>
        <w:pStyle w:val="12"/>
        <w:ind w:firstLine="640" w:firstLineChars="200"/>
        <w:jc w:val="left"/>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微软雅黑" w:hAnsi="宋体" w:eastAsia="微软雅黑"/>
          <w:sz w:val="44"/>
          <w:szCs w:val="44"/>
        </w:rPr>
      </w:pPr>
      <w:r>
        <w:rPr>
          <w:rFonts w:hint="eastAsia" w:ascii="微软雅黑" w:hAnsi="宋体" w:eastAsia="微软雅黑"/>
          <w:sz w:val="44"/>
          <w:szCs w:val="44"/>
          <w:lang w:val="en-US"/>
        </w:rPr>
        <w:t>下西一般行政管理工作经费</w:t>
      </w:r>
      <w:r>
        <w:rPr>
          <w:rFonts w:hint="eastAsia" w:ascii="微软雅黑" w:hAnsi="宋体" w:eastAsia="微软雅黑"/>
          <w:sz w:val="44"/>
          <w:szCs w:val="44"/>
        </w:rPr>
        <w:t>项目支出绩效自评报告</w:t>
      </w:r>
    </w:p>
    <w:p>
      <w:pPr>
        <w:pStyle w:val="4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下西一般行政管理工作经费</w:t>
      </w:r>
      <w:r>
        <w:rPr>
          <w:rFonts w:hint="eastAsia" w:ascii="仿宋_GB2312" w:hAnsi="仿宋_GB2312" w:eastAsia="仿宋_GB2312" w:cs="仿宋_GB2312"/>
          <w:color w:val="000000"/>
          <w:sz w:val="32"/>
          <w:szCs w:val="32"/>
          <w:highlight w:val="none"/>
          <w:lang w:eastAsia="zh-CN"/>
        </w:rPr>
        <w:t>项目</w:t>
      </w:r>
      <w:r>
        <w:rPr>
          <w:rFonts w:hint="eastAsia" w:ascii="仿宋_GB2312" w:hAnsi="仿宋_GB2312" w:eastAsia="仿宋_GB2312" w:cs="仿宋_GB2312"/>
          <w:color w:val="000000"/>
          <w:sz w:val="32"/>
          <w:szCs w:val="32"/>
          <w:highlight w:val="none"/>
          <w:lang w:val="en-US" w:eastAsia="zh-CN"/>
        </w:rPr>
        <w:t>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zh-CN" w:eastAsia="zh-CN"/>
        </w:rPr>
        <w:t>下西</w:t>
      </w:r>
      <w:r>
        <w:rPr>
          <w:rFonts w:hint="eastAsia" w:ascii="仿宋_GB2312" w:hAnsi="Calibri" w:eastAsia="仿宋_GB2312" w:cs="仿宋_GB2312"/>
          <w:color w:val="auto"/>
          <w:kern w:val="2"/>
          <w:sz w:val="32"/>
          <w:szCs w:val="32"/>
          <w:lang w:val="en-US" w:eastAsia="zh-CN" w:bidi="ar-SA"/>
        </w:rPr>
        <w:t>办事处职能简介负责辖区内企业服务、安全生产、信访维稳、房屋征收与补偿、计划生育、民政、劳动就业、社会保障、环境卫生等工作。根据上年经费支出情况，2023年申报下西一般行政管理工作经费项目10万元，</w:t>
      </w:r>
      <w:r>
        <w:rPr>
          <w:rFonts w:hint="eastAsia" w:ascii="仿宋_GB2312" w:hAnsi="仿宋_GB2312" w:eastAsia="仿宋_GB2312" w:cs="仿宋_GB2312"/>
          <w:b w:val="0"/>
          <w:bCs w:val="0"/>
          <w:sz w:val="32"/>
          <w:szCs w:val="32"/>
          <w:lang w:val="en-US" w:eastAsia="zh-CN"/>
        </w:rPr>
        <w:t>批复共计预算10万元。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ascii="仿宋_GB2312" w:eastAsia="仿宋_GB2312" w:cs="仿宋_GB2312"/>
          <w:sz w:val="32"/>
          <w:szCs w:val="32"/>
        </w:rPr>
        <w:t>把党的政治建设摆在首位</w:t>
      </w:r>
      <w:r>
        <w:rPr>
          <w:rFonts w:hint="eastAsia" w:ascii="仿宋_GB2312" w:eastAsia="仿宋_GB2312" w:cs="仿宋_GB2312"/>
          <w:sz w:val="32"/>
          <w:szCs w:val="32"/>
          <w:lang w:eastAsia="zh-CN"/>
        </w:rPr>
        <w:t>，</w:t>
      </w:r>
      <w:r>
        <w:rPr>
          <w:rFonts w:ascii="仿宋_GB2312" w:eastAsia="仿宋_GB2312" w:cs="仿宋_GB2312"/>
          <w:sz w:val="32"/>
          <w:szCs w:val="32"/>
        </w:rPr>
        <w:t>健全落实党的领导制度体系，贯彻党的民主集中制，落实请示报告制度</w:t>
      </w:r>
      <w:r>
        <w:rPr>
          <w:rFonts w:hint="eastAsia" w:ascii="仿宋_GB2312" w:hAnsi="Times New Roman" w:eastAsia="仿宋_GB2312" w:cs="仿宋_GB2312"/>
          <w:kern w:val="2"/>
          <w:sz w:val="32"/>
          <w:szCs w:val="32"/>
          <w:lang w:val="en-US" w:eastAsia="zh-CN" w:bidi="ar-SA"/>
        </w:rPr>
        <w:t>。加强党管武装，抓好应征报名工作、全年征兵工作，锻炼应急队伍，完善基层组织队伍建设。提升基层组织力量。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2.应急车辆保险缴纳、车辆维护、加油等费用，保障车辆正常运行。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严格执行上级关于干部教育培训经费管理制度，全力保障干部教育培训工作有序推进”精神，进一步从严规范管理干部教育培训工作，聚焦主责主业，强化基础保障，为培养和造就好干部服务，采取统筹与自筹相结合的方式保障培训经费落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2023年我办申报项目经费共计10万元。经财政审核后上报预算。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color w:val="000000"/>
          <w:sz w:val="32"/>
          <w:szCs w:val="32"/>
          <w:highlight w:val="none"/>
          <w:lang w:val="en-US" w:eastAsia="zh-CN"/>
        </w:rPr>
        <w:t>，下达我办资金8万元。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我办按年初目标主要培训经费、党建知识宣传费；培训提升差旅费；开展组织活动费；法制建设资料费及办公费。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en-US" w:eastAsia="zh-CN"/>
        </w:rPr>
        <w:t>项目由办公室负责，全年发放党建宣传传单2000余份、书籍50余本，订阅报刊40余份，组织外出提升培训3批次，开展党建等活动1次。</w:t>
      </w:r>
      <w:r>
        <w:rPr>
          <w:rFonts w:hint="eastAsia" w:ascii="仿宋_GB2312" w:hAnsi="仿宋_GB2312" w:eastAsia="仿宋_GB2312" w:cs="仿宋_GB2312"/>
          <w:color w:val="000000"/>
          <w:sz w:val="32"/>
          <w:szCs w:val="32"/>
          <w:highlight w:val="none"/>
          <w:lang w:val="en-US" w:eastAsia="zh-CN"/>
        </w:rPr>
        <w:t>全年应急用车各种安全检查100余人次。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完成了宣传资料的制作</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b w:val="0"/>
          <w:bCs w:val="0"/>
          <w:sz w:val="32"/>
          <w:szCs w:val="32"/>
          <w:lang w:val="en-US" w:eastAsia="zh-CN"/>
        </w:rPr>
        <w:t>全年发放党建宣传传单2000余份、书籍50余本，订阅报刊40余份，组织外出提升培训3批次，开展党建等活动150人次。完成年初目标100%。</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spacing w:line="576" w:lineRule="exact"/>
        <w:ind w:firstLine="640" w:firstLineChars="200"/>
        <w:rPr>
          <w:rFonts w:hint="eastAsia" w:asci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eastAsia="zh-CN"/>
        </w:rPr>
        <w:t>加强党的政治建设，</w:t>
      </w:r>
      <w:r>
        <w:rPr>
          <w:rFonts w:hint="eastAsia" w:ascii="仿宋_GB2312" w:hAnsi="仿宋_GB2312" w:eastAsia="仿宋_GB2312" w:cs="仿宋_GB2312"/>
          <w:color w:val="000000"/>
          <w:sz w:val="32"/>
          <w:szCs w:val="32"/>
          <w:highlight w:val="none"/>
          <w:lang w:val="en-US" w:eastAsia="zh-CN"/>
        </w:rPr>
        <w:t>加强党的思想建设，加强基层组织建设，加强干部队伍建设，加强党风廉政建设。通过对少数违纪党员党纪处分，警醒辖区党员干部。为区党工委</w:t>
      </w:r>
      <w:r>
        <w:rPr>
          <w:rFonts w:ascii="仿宋_GB2312" w:eastAsia="仿宋_GB2312" w:cs="仿宋_GB2312"/>
          <w:sz w:val="32"/>
          <w:szCs w:val="32"/>
        </w:rPr>
        <w:t>政园合一、扁平管理</w:t>
      </w:r>
      <w:r>
        <w:rPr>
          <w:rFonts w:hint="eastAsia" w:ascii="仿宋_GB2312" w:eastAsia="仿宋_GB2312" w:cs="仿宋_GB2312"/>
          <w:sz w:val="32"/>
          <w:szCs w:val="32"/>
          <w:lang w:eastAsia="zh-CN"/>
        </w:rPr>
        <w:t>”</w:t>
      </w:r>
      <w:r>
        <w:rPr>
          <w:rFonts w:ascii="仿宋_GB2312" w:eastAsia="仿宋_GB2312" w:cs="仿宋_GB2312"/>
          <w:sz w:val="32"/>
          <w:szCs w:val="32"/>
        </w:rPr>
        <w:t>，干部进驻园区、力量汇聚项目</w:t>
      </w:r>
      <w:r>
        <w:rPr>
          <w:rFonts w:hint="eastAsia" w:ascii="仿宋_GB2312" w:eastAsia="仿宋_GB2312" w:cs="仿宋_GB2312"/>
          <w:sz w:val="32"/>
          <w:szCs w:val="32"/>
          <w:lang w:eastAsia="zh-CN"/>
        </w:rPr>
        <w:t>，</w:t>
      </w:r>
      <w:r>
        <w:rPr>
          <w:rFonts w:hint="eastAsia" w:ascii="仿宋_GB2312" w:hAnsi="仿宋_GB2312" w:eastAsia="仿宋_GB2312" w:cs="仿宋_GB2312"/>
          <w:color w:val="000000"/>
          <w:sz w:val="32"/>
          <w:szCs w:val="32"/>
          <w:highlight w:val="none"/>
          <w:lang w:val="en-US" w:eastAsia="zh-CN"/>
        </w:rPr>
        <w:t>打造良好的营商环境。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pPr>
        <w:pStyle w:val="12"/>
        <w:ind w:firstLine="640" w:firstLineChars="200"/>
        <w:jc w:val="left"/>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pPr>
        <w:pStyle w:val="3"/>
        <w:rPr>
          <w:rFonts w:hint="eastAsia"/>
          <w:lang w:val="en-US" w:eastAsia="zh-CN"/>
        </w:rPr>
      </w:pPr>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微软雅黑" w:hAnsi="宋体" w:eastAsia="微软雅黑"/>
          <w:sz w:val="44"/>
          <w:szCs w:val="44"/>
          <w:lang w:val="en-US"/>
        </w:rPr>
      </w:pPr>
    </w:p>
    <w:p>
      <w:pPr>
        <w:pStyle w:val="3"/>
        <w:rPr>
          <w:rFonts w:hint="eastAsia"/>
          <w:lang w:val="en-US" w:eastAsia="zh-CN"/>
        </w:rPr>
      </w:pPr>
    </w:p>
    <w:p>
      <w:pPr>
        <w:pStyle w:val="3"/>
        <w:rPr>
          <w:rFonts w:hint="eastAsia"/>
          <w:lang w:val="en-US" w:eastAsia="zh-CN"/>
        </w:rPr>
      </w:pPr>
    </w:p>
    <w:p>
      <w:pPr>
        <w:pStyle w:val="4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微软雅黑" w:hAnsi="宋体" w:eastAsia="微软雅黑"/>
          <w:sz w:val="44"/>
          <w:szCs w:val="44"/>
        </w:rPr>
      </w:pPr>
      <w:r>
        <w:rPr>
          <w:rFonts w:hint="eastAsia" w:ascii="微软雅黑" w:hAnsi="宋体" w:eastAsia="微软雅黑"/>
          <w:sz w:val="44"/>
          <w:szCs w:val="44"/>
          <w:lang w:val="en-US"/>
        </w:rPr>
        <w:t>下西</w:t>
      </w:r>
      <w:r>
        <w:rPr>
          <w:rFonts w:hint="eastAsia" w:ascii="微软雅黑" w:hAnsi="宋体" w:eastAsia="微软雅黑"/>
          <w:sz w:val="44"/>
          <w:szCs w:val="44"/>
          <w:lang w:val="en-US" w:eastAsia="zh-CN"/>
        </w:rPr>
        <w:t>文明城市创建工作经费</w:t>
      </w:r>
      <w:r>
        <w:rPr>
          <w:rFonts w:hint="eastAsia" w:ascii="微软雅黑" w:hAnsi="宋体" w:eastAsia="微软雅黑"/>
          <w:sz w:val="44"/>
          <w:szCs w:val="44"/>
        </w:rPr>
        <w:t>项目支出绩效自评报告</w:t>
      </w:r>
    </w:p>
    <w:p>
      <w:pPr>
        <w:pStyle w:val="4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文明城市创建经费项目支出绩效自评报告如下。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zh-CN"/>
        </w:rPr>
        <w:t>用于开展各类文明城市创建工作，</w:t>
      </w:r>
      <w:r>
        <w:rPr>
          <w:rFonts w:hint="eastAsia" w:ascii="仿宋_GB2312" w:hAnsi="仿宋_GB2312" w:eastAsia="仿宋_GB2312" w:cs="仿宋_GB2312"/>
          <w:b w:val="0"/>
          <w:bCs w:val="0"/>
          <w:sz w:val="32"/>
          <w:szCs w:val="32"/>
          <w:lang w:val="en-US" w:eastAsia="zh-CN"/>
        </w:rPr>
        <w:t>批复预算5万元。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eastAsia="仿宋_GB2312" w:cs="仿宋_GB2312"/>
          <w:sz w:val="32"/>
          <w:szCs w:val="32"/>
          <w:lang w:eastAsia="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0" w:lineRule="exact"/>
        <w:ind w:left="638" w:leftChars="304" w:firstLine="0" w:firstLineChars="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1.提高城市公共服务水平，优化城市治理能力；</w:t>
      </w:r>
      <w:r>
        <w:rPr>
          <w:rFonts w:hint="eastAsia" w:ascii="仿宋_GB2312" w:hAnsi="仿宋_GB2312" w:eastAsia="仿宋_GB2312" w:cs="仿宋_GB2312"/>
          <w:b w:val="0"/>
          <w:bCs w:val="0"/>
          <w:sz w:val="32"/>
          <w:szCs w:val="32"/>
          <w:lang w:val="zh-CN"/>
        </w:rPr>
        <w:br w:type="textWrapping"/>
      </w:r>
      <w:r>
        <w:rPr>
          <w:rFonts w:hint="eastAsia" w:ascii="仿宋_GB2312" w:hAnsi="仿宋_GB2312" w:eastAsia="仿宋_GB2312" w:cs="仿宋_GB2312"/>
          <w:b w:val="0"/>
          <w:bCs w:val="0"/>
          <w:sz w:val="32"/>
          <w:szCs w:val="32"/>
          <w:lang w:val="zh-CN"/>
        </w:rPr>
        <w:t>2.推动社会文明进步和道德提升；</w:t>
      </w:r>
    </w:p>
    <w:p>
      <w:pPr>
        <w:keepNext w:val="0"/>
        <w:keepLines w:val="0"/>
        <w:pageBreakBefore w:val="0"/>
        <w:widowControl w:val="0"/>
        <w:kinsoku/>
        <w:wordWrap/>
        <w:overflowPunct/>
        <w:topLinePunct w:val="0"/>
        <w:autoSpaceDE/>
        <w:autoSpaceDN/>
        <w:bidi w:val="0"/>
        <w:adjustRightInd w:val="0"/>
        <w:snapToGrid w:val="0"/>
        <w:spacing w:line="570" w:lineRule="exact"/>
        <w:ind w:left="638" w:leftChars="304" w:firstLine="0" w:firstLineChars="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3.打造城市品牌，提高城市影响力和竞争力。</w:t>
      </w:r>
      <w:r>
        <w:rPr>
          <w:rFonts w:hint="eastAsia" w:ascii="楷体_GB2312" w:hAnsi="楷体_GB2312" w:eastAsia="楷体_GB2312" w:cs="楷体_GB2312"/>
          <w:b w:val="0"/>
          <w:bCs w:val="0"/>
          <w:sz w:val="32"/>
          <w:szCs w:val="32"/>
          <w:lang w:val="zh-CN"/>
        </w:rPr>
        <w:br w:type="textWrapping"/>
      </w: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2023年我办申报项目经费共计5万元。经财政审核后批复预算。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批复预算5万元。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我办按目标主要支付宣传推广、社区服务、宣传费、办公费等。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ascii="微软雅黑" w:hAnsi="微软雅黑" w:eastAsia="微软雅黑"/>
          <w:sz w:val="28"/>
        </w:rPr>
      </w:pPr>
      <w:r>
        <w:rPr>
          <w:rFonts w:hint="eastAsia" w:ascii="仿宋_GB2312" w:hAnsi="仿宋_GB2312" w:eastAsia="仿宋_GB2312" w:cs="仿宋_GB2312"/>
          <w:sz w:val="32"/>
          <w:szCs w:val="32"/>
        </w:rPr>
        <w:t>我们制作了大量宣传材料，包括海报、宣传册等，通过电视、广播、网络等多种渠道进行宣传推广。同时，我们还举办了文明城市创建主题活动，吸引了大量市民参与。我们加强了社区服务力度，建立起完善的社区服务体系。同时，在社区环境整治方面也取得了一定成效，例如清理垃圾、绿化美化等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b w:val="0"/>
          <w:bCs w:val="0"/>
          <w:sz w:val="32"/>
          <w:szCs w:val="32"/>
          <w:lang w:val="en-US"/>
        </w:rPr>
        <w:t>我们充分利用专项经费，在基础建设、宣传推广和社区服务三个方面取得良好成效。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color w:val="auto"/>
          <w:sz w:val="32"/>
          <w:szCs w:val="32"/>
          <w:lang w:val="en-US" w:eastAsia="zh-CN"/>
        </w:rPr>
        <w:t>通过本次专项经费项目的实施，我单位的城市形象和品质得到了明显提升，市民的生活环境也得到了改善。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b w:val="0"/>
          <w:bCs w:val="0"/>
          <w:sz w:val="32"/>
          <w:szCs w:val="32"/>
          <w:lang w:val="zh-CN"/>
        </w:rPr>
        <w:t>虽然我们在城市主要道路和公共场所增设了垃圾桶、公共厕所等设施，但是在一些偏远地区和边缘地带仍需要加强基础设施建设。</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pStyle w:val="16"/>
        <w:widowControl/>
        <w:spacing w:before="0" w:beforeAutospacing="0" w:after="0" w:afterAutospacing="0" w:line="580" w:lineRule="atLeast"/>
        <w:ind w:firstLine="320" w:firstLineChars="100"/>
        <w:jc w:val="both"/>
        <w:rPr>
          <w:rFonts w:hint="eastAsia" w:ascii="仿宋_GB2312" w:hAnsi="仿宋_GB2312" w:eastAsia="仿宋_GB2312" w:cs="仿宋_GB2312"/>
          <w:color w:val="auto"/>
          <w:kern w:val="2"/>
          <w:sz w:val="32"/>
          <w:szCs w:val="32"/>
          <w:highlight w:val="none"/>
        </w:rPr>
      </w:pPr>
    </w:p>
    <w:p>
      <w:pPr>
        <w:spacing w:line="600" w:lineRule="exact"/>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附件3</w:t>
      </w:r>
    </w:p>
    <w:p>
      <w:pPr>
        <w:pStyle w:val="17"/>
        <w:rPr>
          <w:rFonts w:hint="default"/>
          <w:lang w:val="en-US" w:eastAsia="zh-CN"/>
        </w:rPr>
      </w:pPr>
    </w:p>
    <w:tbl>
      <w:tblPr>
        <w:tblStyle w:val="18"/>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20"/>
        <w:gridCol w:w="1254"/>
        <w:gridCol w:w="1556"/>
        <w:gridCol w:w="514"/>
        <w:gridCol w:w="766"/>
        <w:gridCol w:w="436"/>
        <w:gridCol w:w="1075"/>
        <w:gridCol w:w="816"/>
        <w:gridCol w:w="509"/>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下西伙补助经费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提高食堂服务水平，为办事处工作顺利开展提供后勤保障。</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保障了40余人工作日中午用餐，提升员工工作效率。职工满意度好。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11.88</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11.88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11.88</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保障人数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卫生检查合格率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经费总额</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11.88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就餐职工满意度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项目保障街道工作正常开展。自评得分100分。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保障人员伙食团经费存在缺口。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厉行节约，加强成本核算。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项目负责人：张雯</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下西森林防火工作经费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防火知识宣传，安全检查，物质保障</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全年防火物资更换一批，印制宣传册100余册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物资储备更换批次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森林防火安全检查覆盖率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宣传费、购买物资</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保障辖区内森林防火工作正常有序开展，完成年初目标。自评得分99分。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检查范围还存在涉及不到的地方。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建议对街道、社区及护林员加强培训，提升防火意识。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项目负责人：樊莉</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7"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8"/>
                <w:szCs w:val="28"/>
                <w:highlight w:val="none"/>
                <w:u w:val="none"/>
              </w:rPr>
            </w:pPr>
            <w:r>
              <w:rPr>
                <w:rFonts w:ascii="宋体" w:hAnsi="宋体" w:eastAsia="宋体" w:cs="宋体"/>
                <w:b/>
                <w:bCs/>
                <w:i w:val="0"/>
                <w:iCs w:val="0"/>
                <w:color w:val="auto"/>
                <w:kern w:val="0"/>
                <w:sz w:val="28"/>
                <w:szCs w:val="28"/>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51088923T000009294015-下西安全管理、社区发展治理经费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辖区企业安全生产管理。</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全年安全检查12余次以上，隐患排查20余处，整改率100%。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标识规范率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安全隐患排查率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宣传经费、培训费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项目完成了预期计划、实现了预期目标。自评得分98分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工作人员专业知识还需加强。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加强工作人员专业知识培训。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项目负责人：王春芳</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下西城乡环境治理经费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br w:type="textWrapping"/>
            </w:r>
            <w:r>
              <w:rPr>
                <w:rFonts w:ascii="宋体" w:hAnsi="宋体" w:eastAsia="宋体" w:cs="宋体"/>
                <w:i w:val="0"/>
                <w:iCs w:val="0"/>
                <w:color w:val="auto"/>
                <w:kern w:val="0"/>
                <w:sz w:val="18"/>
                <w:szCs w:val="18"/>
                <w:highlight w:val="none"/>
                <w:u w:val="none"/>
                <w:lang w:val="en-US" w:eastAsia="zh-CN" w:bidi="ar"/>
              </w:rPr>
              <w:t>下西环境卫生整治及管理，改善环境</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全年开展环境整治10余次，印制宣传册500余份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卫生整治次数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卫生抽查覆盖率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检查优良率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卫生环境</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服务对象满意率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基本完成年初目标，自评得分98分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保洁不能持久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增加环境管理及宣传工作。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项目负责人：樊莉</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 xml:space="preserve">部门预算项目支出绩效自评表（2023年度）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下西防汛工作经费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防汛值班、防汛物质购置及维护等。加强河湖管理宣传，开展汛前安全专项检查及汛期安全动态查看，加强汛期值班值守，确保安全度汛</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防汛值班150余天，检查20余次，完善应急物质储备。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防汛物质储备使用率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防汛安全保障率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购买防汛物资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水环境保护</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完成年初目标。自评得分98分.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项目负责人：王春芳</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下西现代产城融和园攻坚指挥部工作经费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房租、劳务、环境整治、维稳、水电费、电话费、差旅费，完成招商引资任务等</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全年入库项目9个，总投资10亿元；全年共培育5家四上企业；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完成招商引资项目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项目建设质量达标率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固定资产投资增长率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园区发展影响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年初目标完成，但缺高质量企业。自评得分98分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项目负责人：刘亚玲</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信访条例宣传，保障维稳工作日常运行，增强群众安全感。</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预防群体事件，确保社会稳定</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促进社会和谐稳定</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宣传费、差旅</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按支付进度略缓。自评得分98分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项目负责人：王春芳</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下西疫情防疫工作经费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疫情防疫经费</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完成春秋两级畜禽疫苗接种，宣传防疫知识3次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宣传疫情防疫知识次数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强制免疫病接种率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重大疫情</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项目负责人：樊莉</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下西文明城市创建经费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提升市民素质、道德意识</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印制宣传册500余份、知识讲座培训、宣传教育活动5次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印制宣传册</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城市形象提升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宣传费、办公费、劳务费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项目负责人：祖祥照</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下西一般行政管理工作经费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培训费、党建经费、法制经费、应急用车等费用</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宣传6次以上，开展干部培训2次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宣传展板使用率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干部业务水平</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服务对象满意率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项目负责人：祖祥照</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945"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129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162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52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66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1091"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84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511"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c>
          <w:tcPr>
            <w:tcW w:w="207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17" w:type="dxa"/>
            <w:gridSpan w:val="11"/>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下西聘用人员工资项目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保障机关工作运行，聘用人员保险及工资正常发放</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保障机关工作运行，聘用人员保险及工资正常发放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147.36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147.36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147.36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147.36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保障人数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运转保障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持续影响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长期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长期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完成年初目标。自评得分100.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项目负责人：祖祥照</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村社干部报酬、保险、绩效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保障9社区干部报酬及小组组长工资</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保障9社区干部报酬及小组组长工资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363.68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363.68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363.68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363.68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保障人数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队伍稳定率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按时发放率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村组运转保障率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项目负责人：祖祥照</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4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村社运行经费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9个村社区运行保障</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9个村社区运行保障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90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保障单位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村社区账务公开率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运行保障率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保障金额</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项目负责人：祖祥照</w:t>
            </w:r>
          </w:p>
        </w:tc>
        <w:tc>
          <w:tcPr>
            <w:tcW w:w="55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财务负责人：祖祥照</w:t>
            </w:r>
          </w:p>
        </w:tc>
      </w:tr>
    </w:tbl>
    <w:p>
      <w:pPr>
        <w:pStyle w:val="3"/>
        <w:rPr>
          <w:rFonts w:hint="eastAsia"/>
          <w:lang w:val="en-US" w:eastAsia="zh-CN"/>
        </w:rPr>
      </w:pPr>
      <w:bookmarkStart w:id="87" w:name="_Toc28289"/>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pPr>
        <w:pStyle w:val="3"/>
        <w:jc w:val="center"/>
        <w:rPr>
          <w:rFonts w:hint="eastAsia"/>
          <w:lang w:val="en-US" w:eastAsia="zh-CN"/>
        </w:rPr>
      </w:pPr>
      <w:r>
        <w:rPr>
          <w:rFonts w:hint="eastAsia"/>
          <w:lang w:val="en-US" w:eastAsia="zh-CN"/>
        </w:rPr>
        <w:t>本部门不涉及</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2"/>
          <w:rFonts w:ascii="黑体" w:hAnsi="黑体" w:eastAsia="黑体"/>
          <w:b w:val="0"/>
          <w:color w:val="auto"/>
          <w:highlight w:val="none"/>
        </w:rPr>
      </w:pPr>
      <w:r>
        <w:rPr>
          <w:rFonts w:hint="eastAsia" w:ascii="黑体" w:hAnsi="黑体" w:eastAsia="黑体"/>
          <w:color w:val="auto"/>
          <w:sz w:val="44"/>
          <w:szCs w:val="44"/>
          <w:highlight w:val="none"/>
        </w:rPr>
        <w:t>第</w:t>
      </w:r>
      <w:r>
        <w:rPr>
          <w:rStyle w:val="22"/>
          <w:rFonts w:hint="eastAsia" w:ascii="黑体" w:hAnsi="黑体" w:eastAsia="黑体"/>
          <w:b w:val="0"/>
          <w:color w:val="auto"/>
          <w:highlight w:val="none"/>
        </w:rPr>
        <w:t>五部分 附表</w:t>
      </w:r>
      <w:bookmarkEnd w:id="79"/>
      <w:bookmarkEnd w:id="80"/>
      <w:bookmarkEnd w:id="87"/>
    </w:p>
    <w:p>
      <w:pPr>
        <w:pStyle w:val="5"/>
        <w:rPr>
          <w:rFonts w:hint="eastAsia" w:ascii="仿宋_GB2312" w:hAnsi="Calibri" w:eastAsia="仿宋_GB2312" w:cs="仿宋"/>
          <w:b w:val="0"/>
          <w:bCs w:val="0"/>
          <w:color w:val="auto"/>
          <w:sz w:val="32"/>
          <w:szCs w:val="32"/>
          <w:highlight w:val="none"/>
          <w:lang w:val="en-US" w:eastAsia="zh-CN" w:bidi="ar-SA"/>
        </w:rPr>
      </w:pPr>
      <w:bookmarkStart w:id="88" w:name="_Toc27318"/>
      <w:bookmarkStart w:id="89" w:name="_Toc15396619"/>
      <w:r>
        <w:rPr>
          <w:rFonts w:hint="eastAsia" w:ascii="仿宋_GB2312" w:hAnsi="Calibri" w:eastAsia="仿宋_GB2312" w:cs="仿宋"/>
          <w:b w:val="0"/>
          <w:bCs w:val="0"/>
          <w:color w:val="auto"/>
          <w:sz w:val="32"/>
          <w:szCs w:val="32"/>
          <w:highlight w:val="none"/>
          <w:lang w:val="en-US" w:eastAsia="zh-CN" w:bidi="ar-SA"/>
        </w:rPr>
        <w:t>一、收入支出决算总表</w:t>
      </w:r>
      <w:bookmarkEnd w:id="88"/>
      <w:bookmarkEnd w:id="89"/>
    </w:p>
    <w:p>
      <w:pPr>
        <w:pStyle w:val="5"/>
        <w:rPr>
          <w:rFonts w:hint="eastAsia" w:ascii="仿宋_GB2312" w:hAnsi="Calibri" w:eastAsia="仿宋_GB2312" w:cs="仿宋"/>
          <w:b w:val="0"/>
          <w:bCs w:val="0"/>
          <w:color w:val="auto"/>
          <w:sz w:val="32"/>
          <w:szCs w:val="32"/>
          <w:highlight w:val="none"/>
          <w:lang w:val="en-US" w:eastAsia="zh-CN" w:bidi="ar-SA"/>
        </w:rPr>
      </w:pPr>
      <w:bookmarkStart w:id="90" w:name="_Toc15396620"/>
      <w:bookmarkStart w:id="91" w:name="_Toc26554"/>
      <w:r>
        <w:rPr>
          <w:rFonts w:hint="eastAsia" w:ascii="仿宋_GB2312" w:hAnsi="Calibri" w:eastAsia="仿宋_GB2312" w:cs="仿宋"/>
          <w:b w:val="0"/>
          <w:bCs w:val="0"/>
          <w:color w:val="auto"/>
          <w:sz w:val="32"/>
          <w:szCs w:val="32"/>
          <w:highlight w:val="none"/>
          <w:lang w:val="en-US" w:eastAsia="zh-CN" w:bidi="ar-SA"/>
        </w:rPr>
        <w:t>二、收入</w:t>
      </w:r>
      <w:bookmarkEnd w:id="90"/>
      <w:r>
        <w:rPr>
          <w:rFonts w:hint="eastAsia" w:ascii="仿宋_GB2312" w:hAnsi="Calibri" w:eastAsia="仿宋_GB2312" w:cs="仿宋"/>
          <w:b w:val="0"/>
          <w:bCs w:val="0"/>
          <w:color w:val="auto"/>
          <w:sz w:val="32"/>
          <w:szCs w:val="32"/>
          <w:highlight w:val="none"/>
          <w:lang w:val="en-US" w:eastAsia="zh-CN" w:bidi="ar-SA"/>
        </w:rPr>
        <w:t>决算表</w:t>
      </w:r>
      <w:bookmarkEnd w:id="91"/>
    </w:p>
    <w:p>
      <w:pPr>
        <w:pStyle w:val="5"/>
        <w:rPr>
          <w:rFonts w:hint="eastAsia" w:ascii="仿宋_GB2312" w:hAnsi="Calibri" w:eastAsia="仿宋_GB2312" w:cs="仿宋"/>
          <w:b w:val="0"/>
          <w:bCs w:val="0"/>
          <w:color w:val="auto"/>
          <w:sz w:val="32"/>
          <w:szCs w:val="32"/>
          <w:highlight w:val="none"/>
          <w:lang w:val="en-US" w:eastAsia="zh-CN" w:bidi="ar-SA"/>
        </w:rPr>
      </w:pPr>
      <w:bookmarkStart w:id="92" w:name="_Toc15396621"/>
      <w:bookmarkStart w:id="93" w:name="_Toc22522"/>
      <w:r>
        <w:rPr>
          <w:rFonts w:hint="eastAsia" w:ascii="仿宋_GB2312" w:hAnsi="Calibri" w:eastAsia="仿宋_GB2312" w:cs="仿宋"/>
          <w:b w:val="0"/>
          <w:bCs w:val="0"/>
          <w:color w:val="auto"/>
          <w:sz w:val="32"/>
          <w:szCs w:val="32"/>
          <w:highlight w:val="none"/>
          <w:lang w:val="en-US" w:eastAsia="zh-CN" w:bidi="ar-SA"/>
        </w:rPr>
        <w:t>三、支出决算表</w:t>
      </w:r>
      <w:bookmarkEnd w:id="92"/>
      <w:bookmarkEnd w:id="93"/>
    </w:p>
    <w:p>
      <w:pPr>
        <w:pStyle w:val="5"/>
        <w:rPr>
          <w:rFonts w:hint="eastAsia" w:ascii="仿宋_GB2312" w:hAnsi="Calibri" w:eastAsia="仿宋_GB2312" w:cs="仿宋"/>
          <w:b w:val="0"/>
          <w:bCs w:val="0"/>
          <w:color w:val="auto"/>
          <w:sz w:val="32"/>
          <w:szCs w:val="32"/>
          <w:highlight w:val="none"/>
          <w:lang w:val="en-US" w:eastAsia="zh-CN" w:bidi="ar-SA"/>
        </w:rPr>
      </w:pPr>
      <w:bookmarkStart w:id="94" w:name="_Toc15396622"/>
      <w:bookmarkStart w:id="95" w:name="_Toc23748"/>
      <w:r>
        <w:rPr>
          <w:rFonts w:hint="eastAsia" w:ascii="仿宋_GB2312" w:hAnsi="Calibri" w:eastAsia="仿宋_GB2312" w:cs="仿宋"/>
          <w:b w:val="0"/>
          <w:bCs w:val="0"/>
          <w:color w:val="auto"/>
          <w:sz w:val="32"/>
          <w:szCs w:val="32"/>
          <w:highlight w:val="none"/>
          <w:lang w:val="en-US" w:eastAsia="zh-CN" w:bidi="ar-SA"/>
        </w:rPr>
        <w:t>四、财政拨款收入支出决算总表</w:t>
      </w:r>
      <w:bookmarkEnd w:id="94"/>
      <w:bookmarkEnd w:id="95"/>
    </w:p>
    <w:p>
      <w:pPr>
        <w:pStyle w:val="5"/>
        <w:rPr>
          <w:rFonts w:hint="eastAsia" w:ascii="仿宋_GB2312" w:hAnsi="Calibri" w:eastAsia="仿宋_GB2312" w:cs="仿宋"/>
          <w:b w:val="0"/>
          <w:bCs w:val="0"/>
          <w:color w:val="auto"/>
          <w:sz w:val="32"/>
          <w:szCs w:val="32"/>
          <w:highlight w:val="none"/>
          <w:lang w:val="en-US" w:eastAsia="zh-CN" w:bidi="ar-SA"/>
        </w:rPr>
      </w:pPr>
      <w:bookmarkStart w:id="96" w:name="_Toc27508"/>
      <w:bookmarkStart w:id="97" w:name="_Toc15396623"/>
      <w:r>
        <w:rPr>
          <w:rFonts w:hint="eastAsia" w:ascii="仿宋_GB2312" w:hAnsi="Calibri" w:eastAsia="仿宋_GB2312" w:cs="仿宋"/>
          <w:b w:val="0"/>
          <w:bCs w:val="0"/>
          <w:color w:val="auto"/>
          <w:sz w:val="32"/>
          <w:szCs w:val="32"/>
          <w:highlight w:val="none"/>
          <w:lang w:val="en-US" w:eastAsia="zh-CN" w:bidi="ar-SA"/>
        </w:rPr>
        <w:t>五、财政拨款支出决算明细表</w:t>
      </w:r>
      <w:bookmarkEnd w:id="96"/>
      <w:bookmarkEnd w:id="97"/>
      <w:bookmarkStart w:id="98" w:name="_Toc15396624"/>
    </w:p>
    <w:p>
      <w:pPr>
        <w:pStyle w:val="5"/>
        <w:rPr>
          <w:rFonts w:hint="eastAsia" w:ascii="仿宋_GB2312" w:hAnsi="Calibri" w:eastAsia="仿宋_GB2312" w:cs="仿宋"/>
          <w:b w:val="0"/>
          <w:bCs w:val="0"/>
          <w:color w:val="auto"/>
          <w:sz w:val="32"/>
          <w:szCs w:val="32"/>
          <w:highlight w:val="none"/>
          <w:lang w:val="en-US" w:eastAsia="zh-CN" w:bidi="ar-SA"/>
        </w:rPr>
      </w:pPr>
      <w:bookmarkStart w:id="99" w:name="_Toc20268"/>
      <w:r>
        <w:rPr>
          <w:rFonts w:hint="eastAsia" w:ascii="仿宋_GB2312" w:hAnsi="Calibri" w:eastAsia="仿宋_GB2312" w:cs="仿宋"/>
          <w:b w:val="0"/>
          <w:bCs w:val="0"/>
          <w:color w:val="auto"/>
          <w:sz w:val="32"/>
          <w:szCs w:val="32"/>
          <w:highlight w:val="none"/>
          <w:lang w:val="en-US" w:eastAsia="zh-CN" w:bidi="ar-SA"/>
        </w:rPr>
        <w:t>六、一般公共预算财政拨款支出决算表</w:t>
      </w:r>
      <w:bookmarkEnd w:id="98"/>
      <w:bookmarkEnd w:id="99"/>
    </w:p>
    <w:p>
      <w:pPr>
        <w:pStyle w:val="5"/>
        <w:rPr>
          <w:rFonts w:hint="eastAsia" w:ascii="仿宋_GB2312" w:hAnsi="Calibri" w:eastAsia="仿宋_GB2312" w:cs="仿宋"/>
          <w:b w:val="0"/>
          <w:bCs w:val="0"/>
          <w:color w:val="auto"/>
          <w:sz w:val="32"/>
          <w:szCs w:val="32"/>
          <w:highlight w:val="none"/>
          <w:lang w:val="en-US" w:eastAsia="zh-CN" w:bidi="ar-SA"/>
        </w:rPr>
      </w:pPr>
      <w:bookmarkStart w:id="100" w:name="_Toc15396625"/>
      <w:bookmarkStart w:id="101" w:name="_Toc32729"/>
      <w:r>
        <w:rPr>
          <w:rFonts w:hint="eastAsia" w:ascii="仿宋_GB2312" w:hAnsi="Calibri" w:eastAsia="仿宋_GB2312" w:cs="仿宋"/>
          <w:b w:val="0"/>
          <w:bCs w:val="0"/>
          <w:color w:val="auto"/>
          <w:sz w:val="32"/>
          <w:szCs w:val="32"/>
          <w:highlight w:val="none"/>
          <w:lang w:val="en-US" w:eastAsia="zh-CN" w:bidi="ar-SA"/>
        </w:rPr>
        <w:t>七、一般公共预算财政拨款支出决算明细表</w:t>
      </w:r>
      <w:bookmarkEnd w:id="100"/>
      <w:bookmarkEnd w:id="101"/>
    </w:p>
    <w:p>
      <w:pPr>
        <w:pStyle w:val="5"/>
        <w:rPr>
          <w:rFonts w:hint="eastAsia" w:ascii="仿宋_GB2312" w:hAnsi="Calibri" w:eastAsia="仿宋_GB2312" w:cs="仿宋"/>
          <w:b w:val="0"/>
          <w:bCs w:val="0"/>
          <w:color w:val="auto"/>
          <w:sz w:val="32"/>
          <w:szCs w:val="32"/>
          <w:highlight w:val="none"/>
          <w:lang w:val="en-US" w:eastAsia="zh-CN" w:bidi="ar-SA"/>
        </w:rPr>
      </w:pPr>
      <w:bookmarkStart w:id="102" w:name="_Toc15396626"/>
      <w:bookmarkStart w:id="103" w:name="_Toc30915"/>
      <w:r>
        <w:rPr>
          <w:rFonts w:hint="eastAsia" w:ascii="仿宋_GB2312" w:hAnsi="Calibri" w:eastAsia="仿宋_GB2312" w:cs="仿宋"/>
          <w:b w:val="0"/>
          <w:bCs w:val="0"/>
          <w:color w:val="auto"/>
          <w:sz w:val="32"/>
          <w:szCs w:val="32"/>
          <w:highlight w:val="none"/>
          <w:lang w:val="en-US" w:eastAsia="zh-CN" w:bidi="ar-SA"/>
        </w:rPr>
        <w:t>八、一般公共预算财政拨款基本支出决算明细表</w:t>
      </w:r>
      <w:bookmarkEnd w:id="102"/>
      <w:bookmarkEnd w:id="103"/>
    </w:p>
    <w:p>
      <w:pPr>
        <w:pStyle w:val="5"/>
        <w:rPr>
          <w:rFonts w:hint="eastAsia" w:ascii="仿宋_GB2312" w:hAnsi="Calibri" w:eastAsia="仿宋_GB2312" w:cs="仿宋"/>
          <w:b w:val="0"/>
          <w:bCs w:val="0"/>
          <w:color w:val="auto"/>
          <w:sz w:val="32"/>
          <w:szCs w:val="32"/>
          <w:highlight w:val="none"/>
          <w:lang w:val="en-US" w:eastAsia="zh-CN" w:bidi="ar-SA"/>
        </w:rPr>
      </w:pPr>
      <w:bookmarkStart w:id="104" w:name="_Toc15396627"/>
      <w:bookmarkStart w:id="105" w:name="_Toc20962"/>
      <w:r>
        <w:rPr>
          <w:rFonts w:hint="eastAsia" w:ascii="仿宋_GB2312" w:hAnsi="Calibri" w:eastAsia="仿宋_GB2312" w:cs="仿宋"/>
          <w:b w:val="0"/>
          <w:bCs w:val="0"/>
          <w:color w:val="auto"/>
          <w:sz w:val="32"/>
          <w:szCs w:val="32"/>
          <w:highlight w:val="none"/>
          <w:lang w:val="en-US" w:eastAsia="zh-CN" w:bidi="ar-SA"/>
        </w:rPr>
        <w:t>九、一般公共预算财政拨款项目支出决算表</w:t>
      </w:r>
      <w:bookmarkEnd w:id="104"/>
      <w:bookmarkEnd w:id="105"/>
    </w:p>
    <w:p>
      <w:pPr>
        <w:pStyle w:val="5"/>
        <w:bidi w:val="0"/>
        <w:rPr>
          <w:rFonts w:hint="eastAsia"/>
          <w:color w:val="auto"/>
          <w:highlight w:val="none"/>
          <w:lang w:val="en-US" w:eastAsia="zh-CN"/>
        </w:rPr>
      </w:pPr>
      <w:bookmarkStart w:id="106" w:name="_Toc3297"/>
      <w:r>
        <w:rPr>
          <w:rFonts w:hint="eastAsia" w:ascii="仿宋_GB2312" w:hAnsi="Calibri" w:eastAsia="仿宋_GB2312" w:cs="仿宋"/>
          <w:b w:val="0"/>
          <w:bCs w:val="0"/>
          <w:color w:val="auto"/>
          <w:kern w:val="2"/>
          <w:sz w:val="32"/>
          <w:szCs w:val="32"/>
          <w:highlight w:val="none"/>
          <w:lang w:val="en-US" w:eastAsia="zh-CN" w:bidi="ar-SA"/>
        </w:rPr>
        <w:t>十、政府性基金预算财政拨款收入支出决算表</w:t>
      </w:r>
      <w:bookmarkEnd w:id="106"/>
      <w:r>
        <w:rPr>
          <w:rFonts w:hint="eastAsia" w:ascii="仿宋_GB2312" w:hAnsi="Calibri" w:eastAsia="仿宋_GB2312" w:cs="仿宋"/>
          <w:b w:val="0"/>
          <w:bCs w:val="0"/>
          <w:color w:val="auto"/>
          <w:kern w:val="2"/>
          <w:sz w:val="32"/>
          <w:szCs w:val="32"/>
          <w:highlight w:val="none"/>
          <w:lang w:val="en-US" w:eastAsia="zh-CN" w:bidi="ar-SA"/>
        </w:rPr>
        <w:tab/>
      </w:r>
    </w:p>
    <w:p>
      <w:pPr>
        <w:pStyle w:val="5"/>
        <w:bidi w:val="0"/>
        <w:rPr>
          <w:rFonts w:hint="eastAsia" w:ascii="仿宋_GB2312" w:hAnsi="Calibri" w:eastAsia="仿宋_GB2312" w:cs="仿宋"/>
          <w:b w:val="0"/>
          <w:bCs w:val="0"/>
          <w:color w:val="auto"/>
          <w:kern w:val="2"/>
          <w:sz w:val="32"/>
          <w:szCs w:val="32"/>
          <w:highlight w:val="none"/>
          <w:lang w:val="en-US" w:eastAsia="zh-CN" w:bidi="ar-SA"/>
        </w:rPr>
      </w:pPr>
      <w:bookmarkStart w:id="107" w:name="_Toc4863"/>
      <w:r>
        <w:rPr>
          <w:rFonts w:hint="eastAsia" w:ascii="仿宋_GB2312" w:hAnsi="Calibri" w:eastAsia="仿宋_GB2312" w:cs="仿宋"/>
          <w:b w:val="0"/>
          <w:bCs w:val="0"/>
          <w:color w:val="auto"/>
          <w:kern w:val="2"/>
          <w:sz w:val="32"/>
          <w:szCs w:val="32"/>
          <w:highlight w:val="none"/>
          <w:lang w:val="en-US" w:eastAsia="zh-CN" w:bidi="ar-SA"/>
        </w:rPr>
        <w:t>十一、国有资本经营预算财政拨款收入支出决算表</w:t>
      </w:r>
      <w:bookmarkEnd w:id="107"/>
      <w:r>
        <w:rPr>
          <w:rFonts w:hint="eastAsia" w:ascii="仿宋_GB2312" w:hAnsi="Calibri" w:eastAsia="仿宋_GB2312" w:cs="仿宋"/>
          <w:b w:val="0"/>
          <w:bCs w:val="0"/>
          <w:color w:val="auto"/>
          <w:kern w:val="2"/>
          <w:sz w:val="32"/>
          <w:szCs w:val="32"/>
          <w:highlight w:val="none"/>
          <w:lang w:val="en-US" w:eastAsia="zh-CN" w:bidi="ar-SA"/>
        </w:rPr>
        <w:tab/>
      </w:r>
    </w:p>
    <w:p>
      <w:pPr>
        <w:pStyle w:val="5"/>
        <w:bidi w:val="0"/>
        <w:rPr>
          <w:rFonts w:hint="eastAsia" w:ascii="仿宋_GB2312" w:hAnsi="Calibri" w:eastAsia="仿宋_GB2312" w:cs="仿宋"/>
          <w:b w:val="0"/>
          <w:bCs w:val="0"/>
          <w:color w:val="auto"/>
          <w:kern w:val="2"/>
          <w:sz w:val="32"/>
          <w:szCs w:val="32"/>
          <w:highlight w:val="none"/>
          <w:lang w:val="en-US" w:eastAsia="zh-CN" w:bidi="ar-SA"/>
        </w:rPr>
      </w:pPr>
      <w:bookmarkStart w:id="108" w:name="_Toc31943"/>
      <w:r>
        <w:rPr>
          <w:rFonts w:hint="eastAsia" w:ascii="仿宋_GB2312" w:hAnsi="Calibri" w:eastAsia="仿宋_GB2312" w:cs="仿宋"/>
          <w:b w:val="0"/>
          <w:bCs w:val="0"/>
          <w:color w:val="auto"/>
          <w:kern w:val="2"/>
          <w:sz w:val="32"/>
          <w:szCs w:val="32"/>
          <w:highlight w:val="none"/>
          <w:lang w:val="en-US" w:eastAsia="zh-CN" w:bidi="ar-SA"/>
        </w:rPr>
        <w:t>十二、国有资本经营预算财政拨款支出决算表</w:t>
      </w:r>
      <w:bookmarkEnd w:id="108"/>
      <w:r>
        <w:rPr>
          <w:rFonts w:hint="eastAsia" w:ascii="仿宋_GB2312" w:hAnsi="Calibri" w:eastAsia="仿宋_GB2312" w:cs="仿宋"/>
          <w:b w:val="0"/>
          <w:bCs w:val="0"/>
          <w:color w:val="auto"/>
          <w:kern w:val="2"/>
          <w:sz w:val="32"/>
          <w:szCs w:val="32"/>
          <w:highlight w:val="none"/>
          <w:lang w:val="en-US" w:eastAsia="zh-CN" w:bidi="ar-SA"/>
        </w:rPr>
        <w:tab/>
      </w:r>
    </w:p>
    <w:p>
      <w:pPr>
        <w:pStyle w:val="5"/>
        <w:pageBreakBefore w:val="0"/>
        <w:widowControl w:val="0"/>
        <w:kinsoku/>
        <w:wordWrap/>
        <w:overflowPunct/>
        <w:topLinePunct w:val="0"/>
        <w:autoSpaceDE/>
        <w:autoSpaceDN/>
        <w:bidi w:val="0"/>
        <w:adjustRightInd/>
        <w:snapToGrid/>
        <w:spacing w:line="416" w:lineRule="auto"/>
        <w:textAlignment w:val="auto"/>
        <w:rPr>
          <w:rFonts w:hint="eastAsia" w:ascii="仿宋_GB2312" w:hAnsi="Calibri" w:eastAsia="仿宋_GB2312" w:cs="仿宋"/>
          <w:b w:val="0"/>
          <w:bCs w:val="0"/>
          <w:color w:val="auto"/>
          <w:kern w:val="2"/>
          <w:sz w:val="32"/>
          <w:szCs w:val="32"/>
          <w:highlight w:val="none"/>
          <w:lang w:val="en-US" w:eastAsia="zh-CN" w:bidi="ar-SA"/>
        </w:rPr>
      </w:pPr>
      <w:bookmarkStart w:id="109" w:name="_Toc9910"/>
      <w:r>
        <w:rPr>
          <w:rFonts w:hint="eastAsia" w:ascii="仿宋_GB2312" w:hAnsi="Calibri" w:eastAsia="仿宋_GB2312" w:cs="仿宋"/>
          <w:b w:val="0"/>
          <w:bCs w:val="0"/>
          <w:color w:val="auto"/>
          <w:kern w:val="2"/>
          <w:sz w:val="32"/>
          <w:szCs w:val="32"/>
          <w:highlight w:val="none"/>
          <w:lang w:val="en-US" w:eastAsia="zh-CN" w:bidi="ar-SA"/>
        </w:rPr>
        <w:t>十三、财政拨款“三公经费”支出决算</w:t>
      </w:r>
      <w:bookmarkEnd w:id="109"/>
    </w:p>
    <w:sectPr>
      <w:headerReference r:id="rId3" w:type="default"/>
      <w:footerReference r:id="rId4" w:type="default"/>
      <w:pgSz w:w="11906" w:h="16838"/>
      <w:pgMar w:top="1440" w:right="1009" w:bottom="1440" w:left="726"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7D443A"/>
    <w:multiLevelType w:val="singleLevel"/>
    <w:tmpl w:val="DD7D443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29F72D9"/>
    <w:multiLevelType w:val="singleLevel"/>
    <w:tmpl w:val="129F72D9"/>
    <w:lvl w:ilvl="0" w:tentative="0">
      <w:start w:val="1"/>
      <w:numFmt w:val="decimal"/>
      <w:suff w:val="nothing"/>
      <w:lvlText w:val="%1．"/>
      <w:lvlJc w:val="left"/>
      <w:pPr>
        <w:ind w:left="0" w:firstLine="400"/>
      </w:pPr>
      <w:rPr>
        <w:rFonts w:hint="default"/>
      </w:rPr>
    </w:lvl>
  </w:abstractNum>
  <w:abstractNum w:abstractNumId="5">
    <w:nsid w:val="1E52EAE0"/>
    <w:multiLevelType w:val="singleLevel"/>
    <w:tmpl w:val="1E52EAE0"/>
    <w:lvl w:ilvl="0" w:tentative="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9294F"/>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F1E02"/>
    <w:rsid w:val="00FF30B4"/>
    <w:rsid w:val="05322871"/>
    <w:rsid w:val="06FC26E7"/>
    <w:rsid w:val="08540E98"/>
    <w:rsid w:val="08F432B7"/>
    <w:rsid w:val="0AEA2F37"/>
    <w:rsid w:val="0B1A346B"/>
    <w:rsid w:val="10C055FF"/>
    <w:rsid w:val="13737F6D"/>
    <w:rsid w:val="139B3968"/>
    <w:rsid w:val="14736399"/>
    <w:rsid w:val="1598181E"/>
    <w:rsid w:val="16BB723D"/>
    <w:rsid w:val="17780248"/>
    <w:rsid w:val="18EA3716"/>
    <w:rsid w:val="19936A07"/>
    <w:rsid w:val="1998697F"/>
    <w:rsid w:val="1C153F9E"/>
    <w:rsid w:val="1EAE5F51"/>
    <w:rsid w:val="20535245"/>
    <w:rsid w:val="240371BF"/>
    <w:rsid w:val="26463588"/>
    <w:rsid w:val="26CC27E8"/>
    <w:rsid w:val="29743F15"/>
    <w:rsid w:val="29B7346B"/>
    <w:rsid w:val="29E17ECF"/>
    <w:rsid w:val="29FD04D3"/>
    <w:rsid w:val="2AAE247C"/>
    <w:rsid w:val="2FE778C1"/>
    <w:rsid w:val="319F7F4E"/>
    <w:rsid w:val="34023750"/>
    <w:rsid w:val="35064C8D"/>
    <w:rsid w:val="358C5373"/>
    <w:rsid w:val="377708F0"/>
    <w:rsid w:val="3B4756B8"/>
    <w:rsid w:val="3F6820A1"/>
    <w:rsid w:val="42062767"/>
    <w:rsid w:val="439E7EFB"/>
    <w:rsid w:val="4A8F7895"/>
    <w:rsid w:val="4E322D75"/>
    <w:rsid w:val="4E672235"/>
    <w:rsid w:val="4F1137DA"/>
    <w:rsid w:val="56BA20AC"/>
    <w:rsid w:val="58AF089B"/>
    <w:rsid w:val="59F44EA9"/>
    <w:rsid w:val="5E482CCE"/>
    <w:rsid w:val="61AD6509"/>
    <w:rsid w:val="63393B23"/>
    <w:rsid w:val="69055D6D"/>
    <w:rsid w:val="6B793B12"/>
    <w:rsid w:val="6D7904B3"/>
    <w:rsid w:val="6F634083"/>
    <w:rsid w:val="74231647"/>
    <w:rsid w:val="74744A68"/>
    <w:rsid w:val="76655B13"/>
    <w:rsid w:val="7B477E98"/>
    <w:rsid w:val="7E0D3F64"/>
    <w:rsid w:val="7EAE617E"/>
    <w:rsid w:val="DB987C0E"/>
    <w:rsid w:val="F6BEB3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Body Text Indent"/>
    <w:basedOn w:val="1"/>
    <w:qFormat/>
    <w:uiPriority w:val="0"/>
    <w:pPr>
      <w:spacing w:after="120" w:afterLines="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2"/>
    <w:basedOn w:val="1"/>
    <w:qFormat/>
    <w:uiPriority w:val="0"/>
    <w:pPr>
      <w:spacing w:before="120" w:after="120"/>
      <w:ind w:firstLine="640"/>
      <w:jc w:val="center"/>
    </w:pPr>
    <w:rPr>
      <w:rFonts w:ascii="宋体" w:hAnsi="宋体"/>
      <w:szCs w:val="20"/>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7"/>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1 Char"/>
    <w:basedOn w:val="19"/>
    <w:link w:val="4"/>
    <w:qFormat/>
    <w:uiPriority w:val="9"/>
    <w:rPr>
      <w:rFonts w:ascii="Times New Roman" w:hAnsi="Times New Roman"/>
      <w:b/>
      <w:bCs/>
      <w:kern w:val="44"/>
      <w:sz w:val="44"/>
      <w:szCs w:val="44"/>
    </w:rPr>
  </w:style>
  <w:style w:type="character" w:customStyle="1" w:styleId="23">
    <w:name w:val="标题 2 Char"/>
    <w:basedOn w:val="19"/>
    <w:link w:val="5"/>
    <w:qFormat/>
    <w:uiPriority w:val="9"/>
    <w:rPr>
      <w:rFonts w:asciiTheme="majorHAnsi" w:hAnsiTheme="majorHAnsi" w:eastAsiaTheme="majorEastAsia" w:cstheme="majorBidi"/>
      <w:b/>
      <w:bCs/>
      <w:kern w:val="2"/>
      <w:sz w:val="32"/>
      <w:szCs w:val="32"/>
    </w:rPr>
  </w:style>
  <w:style w:type="character" w:customStyle="1" w:styleId="24">
    <w:name w:val="标题 3 Char"/>
    <w:basedOn w:val="19"/>
    <w:link w:val="6"/>
    <w:qFormat/>
    <w:uiPriority w:val="9"/>
    <w:rPr>
      <w:rFonts w:ascii="Times New Roman" w:hAnsi="Times New Roman"/>
      <w:b/>
      <w:bCs/>
      <w:kern w:val="2"/>
      <w:sz w:val="32"/>
      <w:szCs w:val="32"/>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1"/>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9"/>
    <w:semiHidden/>
    <w:qFormat/>
    <w:uiPriority w:val="99"/>
    <w:rPr>
      <w:rFonts w:ascii="Times New Roman" w:hAnsi="Times New Roman"/>
      <w:kern w:val="2"/>
      <w:sz w:val="18"/>
      <w:szCs w:val="18"/>
    </w:rPr>
  </w:style>
  <w:style w:type="paragraph" w:customStyle="1" w:styleId="35">
    <w:name w:val="p0"/>
    <w:basedOn w:val="1"/>
    <w:qFormat/>
    <w:uiPriority w:val="99"/>
    <w:pPr>
      <w:widowControl/>
    </w:pPr>
    <w:rPr>
      <w:kern w:val="0"/>
      <w:szCs w:val="21"/>
    </w:rPr>
  </w:style>
  <w:style w:type="character" w:customStyle="1" w:styleId="36">
    <w:name w:val="NormalCharacter"/>
    <w:semiHidden/>
    <w:qFormat/>
    <w:uiPriority w:val="0"/>
    <w:rPr>
      <w:rFonts w:ascii="Times New Roman" w:hAnsi="Times New Roman" w:eastAsia="宋体" w:cs="Times New Roman"/>
      <w:kern w:val="2"/>
      <w:sz w:val="21"/>
      <w:lang w:val="en-US" w:eastAsia="zh-CN" w:bidi="ar-SA"/>
    </w:rPr>
  </w:style>
  <w:style w:type="paragraph" w:customStyle="1" w:styleId="37">
    <w:name w:val="Plain Text1"/>
    <w:basedOn w:val="1"/>
    <w:qFormat/>
    <w:uiPriority w:val="0"/>
    <w:rPr>
      <w:rFonts w:ascii="宋体" w:hAnsi="Courier New" w:cs="Courier New"/>
      <w:szCs w:val="21"/>
    </w:rPr>
  </w:style>
  <w:style w:type="paragraph" w:customStyle="1" w:styleId="38">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39">
    <w:name w:val="font31"/>
    <w:basedOn w:val="19"/>
    <w:qFormat/>
    <w:uiPriority w:val="0"/>
    <w:rPr>
      <w:rFonts w:hint="eastAsia" w:ascii="宋体" w:hAnsi="宋体" w:eastAsia="宋体" w:cs="宋体"/>
      <w:color w:val="000000"/>
      <w:sz w:val="16"/>
      <w:szCs w:val="16"/>
      <w:u w:val="none"/>
    </w:rPr>
  </w:style>
  <w:style w:type="character" w:customStyle="1" w:styleId="40">
    <w:name w:val="font61"/>
    <w:basedOn w:val="19"/>
    <w:qFormat/>
    <w:uiPriority w:val="0"/>
    <w:rPr>
      <w:rFonts w:hint="eastAsia" w:ascii="宋体" w:hAnsi="宋体" w:eastAsia="宋体" w:cs="宋体"/>
      <w:color w:val="000000"/>
      <w:sz w:val="17"/>
      <w:szCs w:val="17"/>
      <w:u w:val="none"/>
    </w:rPr>
  </w:style>
  <w:style w:type="character" w:customStyle="1" w:styleId="41">
    <w:name w:val="font81"/>
    <w:basedOn w:val="19"/>
    <w:qFormat/>
    <w:uiPriority w:val="0"/>
    <w:rPr>
      <w:rFonts w:hint="eastAsia" w:ascii="宋体" w:hAnsi="宋体" w:eastAsia="宋体" w:cs="宋体"/>
      <w:color w:val="000000"/>
      <w:sz w:val="20"/>
      <w:szCs w:val="20"/>
      <w:u w:val="none"/>
    </w:r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character" w:customStyle="1" w:styleId="43">
    <w:name w:val="font51"/>
    <w:basedOn w:val="19"/>
    <w:qFormat/>
    <w:uiPriority w:val="0"/>
    <w:rPr>
      <w:rFonts w:hint="eastAsia" w:ascii="宋体" w:hAnsi="宋体" w:eastAsia="宋体" w:cs="宋体"/>
      <w:color w:val="000000"/>
      <w:sz w:val="18"/>
      <w:szCs w:val="18"/>
      <w:u w:val="none"/>
    </w:rPr>
  </w:style>
  <w:style w:type="character" w:customStyle="1" w:styleId="44">
    <w:name w:val="font21"/>
    <w:basedOn w:val="19"/>
    <w:qFormat/>
    <w:uiPriority w:val="0"/>
    <w:rPr>
      <w:rFonts w:ascii="宋体" w:hAnsi="宋体" w:eastAsia="宋体" w:cs="宋体"/>
      <w:color w:val="000000"/>
      <w:sz w:val="18"/>
      <w:szCs w:val="18"/>
      <w:u w:val="none"/>
    </w:rPr>
  </w:style>
  <w:style w:type="character" w:customStyle="1" w:styleId="45">
    <w:name w:val="font91"/>
    <w:basedOn w:val="19"/>
    <w:qFormat/>
    <w:uiPriority w:val="0"/>
    <w:rPr>
      <w:rFonts w:hint="eastAsia" w:ascii="宋体" w:hAnsi="宋体" w:eastAsia="宋体" w:cs="宋体"/>
      <w:color w:val="000000"/>
      <w:sz w:val="24"/>
      <w:szCs w:val="24"/>
      <w:u w:val="none"/>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352504150470008"/>
          <c:y val="0.00613873542050338"/>
        </c:manualLayout>
      </c:layout>
      <c:overlay val="false"/>
      <c:spPr>
        <a:noFill/>
        <a:ln>
          <a:noFill/>
        </a:ln>
        <a:effectLst/>
      </c:spPr>
    </c:title>
    <c:autoTitleDeleted val="false"/>
    <c:plotArea>
      <c:layout>
        <c:manualLayout>
          <c:layoutTarget val="inner"/>
          <c:xMode val="edge"/>
          <c:yMode val="edge"/>
          <c:x val="0.112344148608061"/>
          <c:y val="0.0701520388112705"/>
          <c:w val="0.883608360836084"/>
          <c:h val="0.845215262191389"/>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27594629496528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1362.48</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6581411361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1227.35</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2022年收支决算总计</c:v>
                </c:pt>
                <c:pt idx="1">
                  <c:v>2023年收支决算总计</c:v>
                </c:pt>
              </c:strCache>
            </c:strRef>
          </c:cat>
          <c:val>
            <c:numRef>
              <c:f>Sheet1!$B$2:$B$3</c:f>
              <c:numCache>
                <c:formatCode>General</c:formatCode>
                <c:ptCount val="2"/>
                <c:pt idx="0">
                  <c:v>1362.48</c:v>
                </c:pt>
                <c:pt idx="1">
                  <c:v>1227.35</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72908796546141"/>
          <c:y val="0.99442482809886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年本年收入（万元）</a:t>
            </a:r>
          </a:p>
        </c:rich>
      </c:tx>
      <c:layout>
        <c:manualLayout>
          <c:xMode val="edge"/>
          <c:yMode val="edge"/>
          <c:x val="0.282948670718129"/>
          <c:y val="0.0078084331077563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2023年本年收入（万元）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Lbl>
              <c:idx val="0"/>
              <c:layout>
                <c:manualLayout>
                  <c:x val="0.107228937495722"/>
                  <c:y val="-0.00181206422700697"/>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664050829773668"/>
                  <c:y val="0.06533253413470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国有资本经营预算财政拨款收入</c:v>
                </c:pt>
                <c:pt idx="2">
                  <c:v>政府性基金预算财政拨款收入</c:v>
                </c:pt>
              </c:strCache>
            </c:strRef>
          </c:cat>
          <c:val>
            <c:numRef>
              <c:f>Sheet1!$B$2:$B$4</c:f>
              <c:numCache>
                <c:formatCode>General</c:formatCode>
                <c:ptCount val="3"/>
                <c:pt idx="0">
                  <c:v>1158.61</c:v>
                </c:pt>
                <c:pt idx="1">
                  <c:v>60.74</c:v>
                </c:pt>
                <c:pt idx="2" c:formatCode="#,##0.00">
                  <c:v>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2023年本年支出（万元）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Lbl>
              <c:idx val="0"/>
              <c:layout>
                <c:manualLayout>
                  <c:x val="0.0868469733470184"/>
                  <c:y val="0.139903534548511"/>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22</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628298347738191"/>
                  <c:y val="-0.084515795244417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a:t>
                    </a:r>
                    <a:r>
                      <a:t>8%</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271.24</c:v>
                </c:pt>
                <c:pt idx="1">
                  <c:v>956.11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false"/>
      <c:spPr>
        <a:noFill/>
        <a:ln>
          <a:noFill/>
        </a:ln>
        <a:effectLst/>
      </c:spPr>
    </c:title>
    <c:autoTitleDeleted val="false"/>
    <c:plotArea>
      <c:layout>
        <c:manualLayout>
          <c:layoutTarget val="inner"/>
          <c:xMode val="edge"/>
          <c:yMode val="edge"/>
          <c:x val="0.0661336216002112"/>
          <c:y val="0.123911659192825"/>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00356482703987325"/>
                  <c:y val="0.015628488501897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87541862022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2022年收支决算总计</c:v>
                </c:pt>
                <c:pt idx="1">
                  <c:v>2023年收支决算总计</c:v>
                </c:pt>
              </c:strCache>
            </c:strRef>
          </c:cat>
          <c:val>
            <c:numRef>
              <c:f>Sheet1!$B$2:$B$3</c:f>
              <c:numCache>
                <c:formatCode>General</c:formatCode>
                <c:ptCount val="2"/>
                <c:pt idx="0">
                  <c:v>1362.48</c:v>
                </c:pt>
                <c:pt idx="1">
                  <c:v>1227.35</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73564948401392"/>
          <c:y val="0.0111669458403127"/>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2022年一般公共预算财政拨款支出</c:v>
                </c:pt>
                <c:pt idx="1">
                  <c:v>2023年一般公共预算财政拨款支出</c:v>
                </c:pt>
              </c:strCache>
            </c:strRef>
          </c:cat>
          <c:val>
            <c:numRef>
              <c:f>Sheet1!$B$2:$B$3</c:f>
              <c:numCache>
                <c:formatCode>#,##0.00</c:formatCode>
                <c:ptCount val="2"/>
                <c:pt idx="0">
                  <c:v>1106.48</c:v>
                </c:pt>
                <c:pt idx="1">
                  <c:v>1158.61</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manualLayout>
          <c:xMode val="edge"/>
          <c:yMode val="edge"/>
          <c:x val="0.307413454029727"/>
          <c:y val="0.00719079578139981"/>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Lbls>
            <c:dLbl>
              <c:idx val="0"/>
              <c:layout>
                <c:manualLayout>
                  <c:x val="0.0355807738333971"/>
                  <c:y val="-0.014191345591393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43</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308432952234129"/>
                  <c:y val="-0.026612108150680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2%</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2"/>
              <c:layout>
                <c:manualLayout>
                  <c:x val="-0.0198074728245198"/>
                  <c:y val="0.021666818673934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4%</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3"/>
              <c:layout>
                <c:manualLayout>
                  <c:x val="-0.0373388315015339"/>
                  <c:y val="0.0117341171296914"/>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2%</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4"/>
              <c:layout>
                <c:manualLayout>
                  <c:x val="-0.12261095462845"/>
                  <c:y val="-0.00931330933753677"/>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1%</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5"/>
              <c:layout>
                <c:manualLayout>
                  <c:x val="-0.0708068954604059"/>
                  <c:y val="0.0178741994968011"/>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49%</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6"/>
              <c:layout>
                <c:manualLayout>
                  <c:x val="0.101695304445992"/>
                  <c:y val="0.0069611779374770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1%</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7"/>
              <c:layout>
                <c:manualLayout>
                  <c:x val="-0.193314215574782"/>
                  <c:y val="0.052493455606262"/>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2%</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8"/>
              <c:layout>
                <c:manualLayout>
                  <c:x val="0.212358418852155"/>
                  <c:y val="0.0486545961564335"/>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0%</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节能环保支出</c:v>
                </c:pt>
              </c:strCache>
            </c:strRef>
          </c:cat>
          <c:val>
            <c:numRef>
              <c:f>Sheet1!$B$2:$B$10</c:f>
              <c:numCache>
                <c:formatCode>General</c:formatCode>
                <c:ptCount val="9"/>
                <c:pt idx="0">
                  <c:v>496.61</c:v>
                </c:pt>
                <c:pt idx="1">
                  <c:v>18.5</c:v>
                </c:pt>
                <c:pt idx="2">
                  <c:v>34.66</c:v>
                </c:pt>
                <c:pt idx="3">
                  <c:v>10.71</c:v>
                </c:pt>
                <c:pt idx="4">
                  <c:v>10</c:v>
                </c:pt>
                <c:pt idx="5">
                  <c:v>561.38</c:v>
                </c:pt>
                <c:pt idx="6">
                  <c:v>3</c:v>
                </c:pt>
                <c:pt idx="7">
                  <c:v>18.74</c:v>
                </c:pt>
                <c:pt idx="8">
                  <c:v>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883161512027491"/>
          <c:y val="0.845021916092674"/>
          <c:w val="0.775143184421535"/>
          <c:h val="0.13744520976831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19580</Words>
  <Characters>21761</Characters>
  <Lines>81</Lines>
  <Paragraphs>22</Paragraphs>
  <TotalTime>1</TotalTime>
  <ScaleCrop>false</ScaleCrop>
  <LinksUpToDate>false</LinksUpToDate>
  <CharactersWithSpaces>21934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2021-09-07T20:04:00Z</dcterms:created>
  <dc:creator>张彬茜</dc:creator>
  <cp:lastModifiedBy> </cp:lastModifiedBy>
  <cp:lastPrinted>2022-09-28T18:22:00Z</cp:lastPrinted>
  <dcterms:modified xsi:type="dcterms:W3CDTF">2024-10-21T18:39:10Z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C7B3F0633BF94B898AB12474B887ED02_13</vt:lpwstr>
  </property>
</Properties>
</file>