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58CC">
      <w:pPr>
        <w:kinsoku/>
        <w:wordWrap/>
        <w:overflowPunct w:val="0"/>
        <w:topLinePunct/>
        <w:autoSpaceDE/>
        <w:autoSpaceDN/>
        <w:spacing w:line="576" w:lineRule="exact"/>
        <w:jc w:val="both"/>
        <w:rPr>
          <w:rFonts w:hint="eastAsia" w:ascii="黑体" w:eastAsia="黑体"/>
          <w:kern w:val="2"/>
          <w:sz w:val="32"/>
          <w:szCs w:val="32"/>
        </w:rPr>
      </w:pPr>
    </w:p>
    <w:p w14:paraId="2D7B159A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default"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 xml:space="preserve">  </w:t>
      </w:r>
      <w:bookmarkStart w:id="0" w:name="_GoBack"/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 xml:space="preserve"> 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bidi="ar-SA"/>
        </w:rPr>
        <w:t>三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轮省级生态环境保护督察第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eastAsia="zh-CN" w:bidi="ar-SA"/>
        </w:rPr>
        <w:t>一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项</w:t>
      </w:r>
    </w:p>
    <w:p w14:paraId="1084D820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整改任务完成情况表</w:t>
      </w:r>
    </w:p>
    <w:bookmarkEnd w:id="0"/>
    <w:p w14:paraId="72E6A876">
      <w:pPr>
        <w:kinsoku/>
        <w:wordWrap/>
        <w:overflowPunct w:val="0"/>
        <w:topLinePunct/>
        <w:autoSpaceDE/>
        <w:autoSpaceDN/>
        <w:spacing w:line="200" w:lineRule="exact"/>
        <w:jc w:val="center"/>
        <w:rPr>
          <w:rFonts w:hint="default" w:eastAsia="方正小标宋简体"/>
          <w:sz w:val="44"/>
          <w:szCs w:val="44"/>
        </w:rPr>
      </w:pP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22"/>
        <w:gridCol w:w="7418"/>
      </w:tblGrid>
      <w:tr w14:paraId="65A0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055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Arial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Arial"/>
                <w:sz w:val="28"/>
                <w:szCs w:val="28"/>
                <w:lang w:bidi="ar-SA"/>
              </w:rPr>
              <w:t>整改任务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9629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eastAsia="仿宋_GB2312" w:cs="Arial"/>
                <w:sz w:val="28"/>
                <w:szCs w:val="28"/>
                <w:lang w:bidi="ar-SA"/>
              </w:rPr>
            </w:pPr>
            <w:r>
              <w:rPr>
                <w:rFonts w:hint="eastAsia" w:eastAsia="仿宋_GB2312" w:cs="Arial"/>
                <w:sz w:val="28"/>
                <w:szCs w:val="28"/>
                <w:lang w:bidi="ar-SA"/>
              </w:rPr>
              <w:t>落实习近平生态文明思想有差距，习近平总书记来川视察时强调，要在筑牢长江黄河上游生态屏障上持续发力，把生态文明建设这篇大文章做好，但广元市认识有待提升，行动还有差距，在生态文明建设上持续用力不够，高质量发展的绿色底色仍然不足。</w:t>
            </w:r>
          </w:p>
        </w:tc>
      </w:tr>
      <w:tr w14:paraId="5E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0BE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整改责任单位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345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市级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有关部门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（单位），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各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县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区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）党委和政府，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广元经济技术开发区党工委和管委会</w:t>
            </w:r>
          </w:p>
        </w:tc>
      </w:tr>
      <w:tr w14:paraId="1FD4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57E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整改目标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09F2F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default" w:ascii="Times New Roman" w:hAnsi="Times New Roman" w:eastAsia="仿宋_GB2312" w:cs="Arial"/>
                <w:lang w:bidi="ar-SA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  <w:kern w:val="2"/>
                <w:lang w:val="en-US" w:eastAsia="en-US" w:bidi="ar-SA"/>
              </w:rPr>
              <w:t>深入贯彻落实习近平生态文明思想，树立正确的发展观和政绩观，提升生态文明建设和生态环境保护水平。</w:t>
            </w:r>
          </w:p>
        </w:tc>
      </w:tr>
      <w:tr w14:paraId="2F77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5A2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整改措施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36DAC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</w:pPr>
            <w:r>
              <w:rPr>
                <w:rFonts w:hint="eastAsia" w:ascii="楷体_GB2312" w:eastAsia="楷体_GB2312" w:cs="楷体_GB2312"/>
                <w:color w:val="auto"/>
                <w:lang w:val="en-US" w:eastAsia="en-US" w:bidi="ar-SA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各级党委、政府把学习贯彻落实习近平生态文明思想作为重要政治任务，通过党委（党组）理论学习中心组学习等形式深入学习，做到学懂弄通做实。完整、准确、全面贯彻新发展理念，推进碳达峰碳中和，严控高耗能、高排放、低水平项目盲目上马，统筹推进经济高质量发展和生态环境高水平保护。</w:t>
            </w:r>
          </w:p>
          <w:p w14:paraId="5155EB65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坚持生态环境保护“党政同责、一岗双责”，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扎实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开展生态环境保护党政同责工作目标绩效考评，切实强化底线约束。强化考核考评结果运用，将其作为党政领导干部考核评价、奖惩任免的重要依据。</w:t>
            </w:r>
          </w:p>
          <w:p w14:paraId="7ED29792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3.强化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市级生态环境保护专项督查，每年由市四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套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班子分管联系领导带队，对各县（区）、市级有关部门（单位）生态环境保护工作开展专项督查，层层压紧压实属地责任和部门监管责任，推动解决生态环境突出问题。</w:t>
            </w:r>
          </w:p>
          <w:p w14:paraId="1F7F5D0B">
            <w:pPr>
              <w:pStyle w:val="4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shd w:val="clear" w:color="auto" w:fill="FFFFFF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hd w:val="clear" w:color="auto" w:fill="FFFFFF"/>
                <w:lang w:val="en-US" w:eastAsia="en-US" w:bidi="ar-SA"/>
              </w:rPr>
              <w:t>4.扎实推进美丽广元建设，出台《美丽广元建设规划（2024—2035年）》，积极推进苍溪县美丽四川先行县建设，推动创建国家生态文明建设示范区、省级生态县。</w:t>
            </w:r>
          </w:p>
        </w:tc>
      </w:tr>
      <w:tr w14:paraId="022C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26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86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整改主要工作</w:t>
            </w:r>
          </w:p>
          <w:p w14:paraId="4B108C9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及成效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19BE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.坚持市委常委会会议、市政府常务会议每季度研究生态环境保护工作。2024年以来，市委理论学习中心组带头开展习近平生态文明思想专题学习，各级党委（党组）理论学习中心组开展习近平生态文明思想等专题学习800余次。已开展生态文明建设专题教学20余期、培训2千余人，翠云廊被纳入四川省首批学习践行党的创新理论现场教学点，切实推动习近平生态文明思想入脑入心，见行见效。坚决遏制高耗能、高排放、低水平项目盲目发展，深入开展专项整治行动，经排查，我市无高能耗高排放低水平项目。</w:t>
            </w:r>
          </w:p>
          <w:p w14:paraId="4EC08F7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.已将生态环境保护工作纳入市委市政府综合目标绩效考评重要内容，制定2024年度县（区）和市级有关部门生态环境保护工作考评指标和细则并完成考核工作。考核结果已作为党政领导干部考核评价、奖惩任免的重要依据，目前未发现影响2024年市管领导班子和领导干部年度考核评优情形。</w:t>
            </w:r>
          </w:p>
          <w:p w14:paraId="20BC012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3.印发《广元市第三轮省级生态环境保护督察反馈问题市领导挂联责任清单》，市级有关部门联合组建工作组于2024年7月、2025年5月对各县区生态环境保护和生态环境问题整改工作进行了专项督查。</w:t>
            </w:r>
          </w:p>
          <w:p w14:paraId="492A05D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default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4.出台了《美丽广元建设规划（2024—2035年）》，苍溪县已被列入美丽四川建设先行试点县，持续推动创建国家生态文明建设示范区、省级生态县。</w:t>
            </w:r>
          </w:p>
        </w:tc>
      </w:tr>
    </w:tbl>
    <w:p w14:paraId="50801AB5"/>
    <w:p w14:paraId="60B29F93"/>
    <w:p w14:paraId="76AB1B2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424" w:lineRule="auto"/>
      <w:ind w:left="0" w:right="0" w:firstLine="400"/>
      <w:jc w:val="both"/>
      <w:textAlignment w:val="auto"/>
      <w:outlineLvl w:val="9"/>
    </w:pPr>
    <w:rPr>
      <w:rFonts w:ascii="MingLiU" w:hAnsi="MingLiU" w:eastAsia="MingLiU" w:cs="MingLiU"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2025-09-01T03:25:20Z</dcterms:created>
  <dc:creator>Administrator</dc:creator>
  <cp:lastModifiedBy>书山压力大</cp:lastModifiedBy>
  <dcterms:modified xsi:type="dcterms:W3CDTF">2025-09-01T03:26:46Z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eyJoZGlkIjoiNDc4YWQ2MGM3MmY5ODRhMGM4NTIyZTU3MjQyYWJlOGMiLCJ1c2VySWQiOiI0NzE5NDQ3NDUifQ==</vt:lpwstr>
  </property>
  <property fmtid="{D5CDD505-2E9C-101B-9397-08002B2CF9AE}" pid="4" name="ICV">
    <vt:lpwstr>8D45C7A1F7D34B2C9B0076B6689542F0_12</vt:lpwstr>
  </property>
</Properties>
</file>