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微软雅黑" w:hAnsi="宋体" w:eastAsia="微软雅黑"/>
          <w:color w:val="000000"/>
          <w:sz w:val="72"/>
          <w:szCs w:val="72"/>
        </w:rPr>
      </w:pPr>
      <w:bookmarkStart w:id="0" w:name="_Toc15306267"/>
    </w:p>
    <w:p>
      <w:pPr>
        <w:spacing w:line="600" w:lineRule="exact"/>
        <w:jc w:val="center"/>
        <w:outlineLvl w:val="0"/>
        <w:rPr>
          <w:rFonts w:ascii="微软雅黑" w:hAnsi="宋体" w:eastAsia="微软雅黑"/>
          <w:color w:val="000000"/>
          <w:sz w:val="72"/>
          <w:szCs w:val="72"/>
        </w:rPr>
      </w:pPr>
    </w:p>
    <w:p>
      <w:pPr>
        <w:spacing w:line="600" w:lineRule="exact"/>
        <w:jc w:val="center"/>
        <w:outlineLvl w:val="0"/>
        <w:rPr>
          <w:rFonts w:ascii="微软雅黑" w:hAnsi="宋体" w:eastAsia="微软雅黑"/>
          <w:color w:val="000000"/>
          <w:sz w:val="72"/>
          <w:szCs w:val="72"/>
        </w:rPr>
      </w:pPr>
    </w:p>
    <w:p>
      <w:pPr>
        <w:adjustRightInd w:val="0"/>
        <w:snapToGrid w:val="0"/>
        <w:spacing w:line="360" w:lineRule="auto"/>
        <w:jc w:val="center"/>
        <w:outlineLvl w:val="0"/>
        <w:rPr>
          <w:rFonts w:ascii="微软雅黑" w:hAnsi="宋体" w:eastAsia="微软雅黑"/>
          <w:color w:val="000000"/>
          <w:sz w:val="72"/>
          <w:szCs w:val="72"/>
        </w:rPr>
      </w:pPr>
      <w:bookmarkStart w:id="1" w:name="_Toc15396597"/>
      <w:bookmarkStart w:id="2" w:name="_Toc15377193"/>
      <w:bookmarkStart w:id="3" w:name="_Toc15378441"/>
      <w:bookmarkStart w:id="4" w:name="_Toc15396475"/>
      <w:bookmarkStart w:id="5" w:name="_Toc15377425"/>
      <w:r>
        <w:rPr>
          <w:rFonts w:hint="eastAsia" w:ascii="黑体" w:hAnsi="黑体" w:eastAsia="黑体"/>
          <w:color w:val="000000"/>
          <w:sz w:val="72"/>
          <w:szCs w:val="72"/>
        </w:rPr>
        <w:t>202</w:t>
      </w:r>
      <w:r>
        <w:rPr>
          <w:rFonts w:hint="eastAsia" w:ascii="黑体" w:hAnsi="黑体" w:eastAsia="黑体"/>
          <w:color w:val="000000"/>
          <w:sz w:val="72"/>
          <w:szCs w:val="72"/>
          <w:lang w:val="en-US" w:eastAsia="zh-CN"/>
        </w:rPr>
        <w:t>2</w:t>
      </w:r>
      <w:r>
        <w:rPr>
          <w:rFonts w:hint="eastAsia" w:ascii="微软雅黑" w:hAnsi="宋体" w:eastAsia="微软雅黑"/>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微软雅黑" w:hAnsi="宋体" w:eastAsia="微软雅黑"/>
          <w:color w:val="000000"/>
          <w:sz w:val="48"/>
          <w:szCs w:val="48"/>
        </w:rPr>
      </w:pPr>
      <w:bookmarkStart w:id="6" w:name="_Toc15396598"/>
      <w:bookmarkStart w:id="7" w:name="_Toc15377426"/>
      <w:bookmarkStart w:id="8" w:name="_Toc15306268"/>
      <w:bookmarkStart w:id="9" w:name="_Toc15396476"/>
      <w:bookmarkStart w:id="10" w:name="_Toc15378442"/>
      <w:bookmarkStart w:id="11" w:name="_Toc15377194"/>
      <w:r>
        <w:rPr>
          <w:rFonts w:hint="eastAsia" w:ascii="微软雅黑" w:hAnsi="宋体" w:eastAsia="微软雅黑"/>
          <w:color w:val="000000"/>
          <w:sz w:val="48"/>
          <w:szCs w:val="48"/>
        </w:rPr>
        <w:t>广元经济技术开发区</w:t>
      </w:r>
      <w:bookmarkStart w:id="70" w:name="_GoBack"/>
      <w:r>
        <w:rPr>
          <w:rFonts w:hint="eastAsia" w:ascii="微软雅黑" w:hAnsi="宋体" w:eastAsia="微软雅黑"/>
          <w:color w:val="000000"/>
          <w:sz w:val="48"/>
          <w:szCs w:val="48"/>
        </w:rPr>
        <w:t>下西坝办事处</w:t>
      </w:r>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部门决算</w:t>
      </w:r>
      <w:bookmarkEnd w:id="70"/>
      <w:bookmarkEnd w:id="6"/>
      <w:bookmarkEnd w:id="7"/>
      <w:bookmarkEnd w:id="8"/>
      <w:bookmarkEnd w:id="9"/>
      <w:bookmarkEnd w:id="10"/>
      <w:bookmarkEnd w:id="11"/>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编</w:t>
      </w:r>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制</w:t>
      </w:r>
    </w:p>
    <w:p>
      <w:pPr>
        <w:adjustRightInd w:val="0"/>
        <w:snapToGrid w:val="0"/>
        <w:spacing w:line="360" w:lineRule="auto"/>
        <w:jc w:val="center"/>
        <w:outlineLvl w:val="0"/>
        <w:rPr>
          <w:rFonts w:ascii="微软雅黑" w:hAnsi="宋体" w:eastAsia="微软雅黑"/>
          <w:color w:val="000000"/>
          <w:sz w:val="72"/>
          <w:szCs w:val="72"/>
        </w:rPr>
      </w:pPr>
      <w:r>
        <w:rPr>
          <w:rFonts w:hint="eastAsia" w:ascii="微软雅黑" w:hAnsi="宋体" w:eastAsia="微软雅黑"/>
          <w:color w:val="000000"/>
          <w:sz w:val="72"/>
          <w:szCs w:val="72"/>
        </w:rPr>
        <w:t>说</w:t>
      </w:r>
    </w:p>
    <w:p>
      <w:pPr>
        <w:adjustRightInd w:val="0"/>
        <w:snapToGrid w:val="0"/>
        <w:spacing w:line="360" w:lineRule="auto"/>
        <w:jc w:val="center"/>
        <w:outlineLvl w:val="0"/>
        <w:rPr>
          <w:rFonts w:ascii="黑体" w:hAnsi="黑体" w:eastAsia="黑体"/>
          <w:color w:val="000000"/>
          <w:sz w:val="48"/>
          <w:szCs w:val="48"/>
        </w:rPr>
      </w:pPr>
      <w:r>
        <w:rPr>
          <w:rFonts w:hint="eastAsia" w:ascii="微软雅黑" w:hAnsi="宋体" w:eastAsia="微软雅黑"/>
          <w:color w:val="000000"/>
          <w:sz w:val="72"/>
          <w:szCs w:val="72"/>
        </w:rPr>
        <w:t>明</w:t>
      </w:r>
      <w:r>
        <w:rPr>
          <w:rFonts w:ascii="微软雅黑" w:hAnsi="宋体" w:eastAsia="微软雅黑"/>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2"/>
      </w:pPr>
      <w:r>
        <w:rPr>
          <w:rFonts w:hint="eastAsia"/>
        </w:rPr>
        <w:t>公开时间：202</w:t>
      </w:r>
      <w:r>
        <w:rPr>
          <w:rFonts w:hint="eastAsia"/>
          <w:lang w:val="en-US" w:eastAsia="zh-CN"/>
        </w:rPr>
        <w:t>3</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w:t>
      </w:r>
    </w:p>
    <w:p/>
    <w:p>
      <w:pPr>
        <w:pStyle w:val="2"/>
        <w:rPr>
          <w:rFonts w:cstheme="minorBidi"/>
        </w:rPr>
      </w:pPr>
      <w:r>
        <w:fldChar w:fldCharType="begin"/>
      </w:r>
      <w:r>
        <w:instrText xml:space="preserve"> HYPERLINK \l "_Toc15396599" </w:instrText>
      </w:r>
      <w:r>
        <w:fldChar w:fldCharType="separate"/>
      </w:r>
      <w:r>
        <w:rPr>
          <w:rStyle w:val="20"/>
          <w:rFonts w:hint="eastAsia"/>
        </w:rPr>
        <w:t>第一部分部门概况</w:t>
      </w:r>
      <w:r>
        <w:tab/>
      </w:r>
      <w:r>
        <w:rPr>
          <w:rFonts w:hint="eastAsia"/>
          <w:lang w:val="en-US" w:eastAsia="zh-CN"/>
        </w:rPr>
        <w:t>4</w:t>
      </w:r>
      <w:r>
        <w:rPr>
          <w:rFonts w:hint="eastAsia"/>
        </w:rPr>
        <w:fldChar w:fldCharType="end"/>
      </w:r>
    </w:p>
    <w:p>
      <w:pPr>
        <w:pStyle w:val="14"/>
        <w:rPr>
          <w:rFonts w:ascii="仿宋" w:hAnsi="仿宋" w:eastAsia="仿宋" w:cstheme="minorBidi"/>
          <w:sz w:val="28"/>
          <w:szCs w:val="28"/>
        </w:rPr>
      </w:pPr>
      <w:r>
        <w:fldChar w:fldCharType="begin"/>
      </w:r>
      <w:r>
        <w:instrText xml:space="preserve"> HYPERLINK \l "_Toc15396600" </w:instrText>
      </w:r>
      <w:r>
        <w:fldChar w:fldCharType="separate"/>
      </w:r>
      <w:r>
        <w:rPr>
          <w:rStyle w:val="20"/>
          <w:rFonts w:hint="eastAsia" w:ascii="仿宋" w:hAnsi="仿宋" w:eastAsia="仿宋"/>
          <w:sz w:val="28"/>
          <w:szCs w:val="28"/>
        </w:rPr>
        <w:t>一、基本职能</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"_Toc15396601" </w:instrText>
      </w:r>
      <w:r>
        <w:fldChar w:fldCharType="separate"/>
      </w:r>
      <w:r>
        <w:rPr>
          <w:rStyle w:val="20"/>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p>
    <w:p>
      <w:pPr>
        <w:pStyle w:val="2"/>
      </w:pPr>
      <w:r>
        <w:fldChar w:fldCharType="begin"/>
      </w:r>
      <w:r>
        <w:instrText xml:space="preserve"> HYPERLINK \l "_Toc15396602" </w:instrText>
      </w:r>
      <w:r>
        <w:fldChar w:fldCharType="separate"/>
      </w:r>
      <w:r>
        <w:rPr>
          <w:rStyle w:val="20"/>
          <w:rFonts w:hint="eastAsia"/>
        </w:rPr>
        <w:t>第二部分</w:t>
      </w:r>
      <w:r>
        <w:rPr>
          <w:rStyle w:val="20"/>
        </w:rPr>
        <w:t xml:space="preserve"> </w:t>
      </w:r>
      <w:r>
        <w:rPr>
          <w:rStyle w:val="20"/>
          <w:rFonts w:hint="eastAsia"/>
        </w:rPr>
        <w:t>202</w:t>
      </w:r>
      <w:r>
        <w:rPr>
          <w:rStyle w:val="20"/>
          <w:rFonts w:hint="eastAsia"/>
          <w:lang w:val="en-US" w:eastAsia="zh-CN"/>
        </w:rPr>
        <w:t>2</w:t>
      </w:r>
      <w:r>
        <w:rPr>
          <w:rStyle w:val="20"/>
          <w:rFonts w:hint="eastAsia"/>
        </w:rPr>
        <w:t>年度部门决算情况说明</w:t>
      </w:r>
      <w:r>
        <w:tab/>
      </w:r>
      <w:r>
        <w:rPr>
          <w:rFonts w:hint="eastAsia"/>
          <w:lang w:val="en-US" w:eastAsia="zh-CN"/>
        </w:rPr>
        <w:t>6</w:t>
      </w:r>
      <w:r>
        <w:rPr>
          <w:rFonts w:hint="eastAsia"/>
        </w:rPr>
        <w:fldChar w:fldCharType="end"/>
      </w:r>
    </w:p>
    <w:p>
      <w:pPr>
        <w:pStyle w:val="14"/>
        <w:rPr>
          <w:rFonts w:ascii="仿宋" w:hAnsi="仿宋" w:eastAsia="仿宋" w:cstheme="minorBidi"/>
          <w:sz w:val="28"/>
          <w:szCs w:val="28"/>
        </w:rPr>
      </w:pPr>
      <w:r>
        <w:fldChar w:fldCharType="begin"/>
      </w:r>
      <w:r>
        <w:instrText xml:space="preserve"> HYPERLINK \l "_Toc15396603" </w:instrText>
      </w:r>
      <w:r>
        <w:fldChar w:fldCharType="separate"/>
      </w:r>
      <w:r>
        <w:rPr>
          <w:rStyle w:val="20"/>
          <w:rFonts w:hint="eastAsia" w:ascii="仿宋" w:hAnsi="仿宋" w:eastAsia="仿宋" w:cstheme="majorBidi"/>
          <w:bCs/>
          <w:sz w:val="28"/>
          <w:szCs w:val="28"/>
        </w:rPr>
        <w:t>一、</w:t>
      </w:r>
      <w:r>
        <w:rPr>
          <w:rStyle w:val="20"/>
          <w:rFonts w:hint="eastAsia" w:ascii="仿宋" w:hAnsi="仿宋" w:eastAsia="仿宋"/>
          <w:sz w:val="28"/>
          <w:szCs w:val="28"/>
        </w:rPr>
        <w:t>收</w:t>
      </w:r>
      <w:r>
        <w:rPr>
          <w:rStyle w:val="20"/>
          <w:rFonts w:hint="eastAsia" w:ascii="仿宋" w:hAnsi="仿宋" w:eastAsia="仿宋" w:cstheme="majorBidi"/>
          <w:bCs/>
          <w:sz w:val="28"/>
          <w:szCs w:val="28"/>
        </w:rPr>
        <w:t>入支出决算总体情况说明</w:t>
      </w:r>
      <w:r>
        <w:rPr>
          <w:rStyle w:val="20"/>
          <w:rFonts w:hint="eastAsia" w:ascii="仿宋" w:hAnsi="仿宋" w:eastAsia="仿宋" w:cstheme="majorBidi"/>
          <w:bCs/>
          <w:sz w:val="28"/>
          <w:szCs w:val="28"/>
          <w:lang w:val="en-US" w:eastAsia="zh-CN"/>
        </w:rPr>
        <w:t xml:space="preserve"> . . ...   .. .. ... ............ </w:t>
      </w:r>
      <w:r>
        <w:rPr>
          <w:rFonts w:hint="eastAsia" w:ascii="仿宋" w:hAnsi="仿宋" w:eastAsia="仿宋"/>
          <w:sz w:val="28"/>
          <w:szCs w:val="28"/>
          <w:lang w:val="en-US" w:eastAsia="zh-CN"/>
        </w:rPr>
        <w:t>6</w:t>
      </w:r>
      <w:r>
        <w:rPr>
          <w:rFonts w:hint="eastAsia"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"_Toc15396604" </w:instrText>
      </w:r>
      <w:r>
        <w:fldChar w:fldCharType="separate"/>
      </w:r>
      <w:r>
        <w:rPr>
          <w:rStyle w:val="20"/>
          <w:rFonts w:hint="eastAsia" w:ascii="仿宋" w:hAnsi="仿宋" w:eastAsia="仿宋" w:cstheme="majorBidi"/>
          <w:bCs/>
          <w:sz w:val="28"/>
          <w:szCs w:val="28"/>
        </w:rPr>
        <w:t>二、</w:t>
      </w:r>
      <w:r>
        <w:rPr>
          <w:rStyle w:val="20"/>
          <w:rFonts w:hint="eastAsia" w:ascii="仿宋" w:hAnsi="仿宋" w:eastAsia="仿宋"/>
          <w:sz w:val="28"/>
          <w:szCs w:val="28"/>
        </w:rPr>
        <w:t>收</w:t>
      </w:r>
      <w:r>
        <w:rPr>
          <w:rStyle w:val="20"/>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 xml:space="preserve">   6</w:t>
      </w:r>
      <w:r>
        <w:rPr>
          <w:rFonts w:hint="eastAsia"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"_Toc15396605" </w:instrText>
      </w:r>
      <w:r>
        <w:fldChar w:fldCharType="separate"/>
      </w:r>
      <w:r>
        <w:rPr>
          <w:rStyle w:val="20"/>
          <w:rFonts w:hint="eastAsia" w:ascii="仿宋" w:hAnsi="仿宋" w:eastAsia="仿宋" w:cstheme="majorBidi"/>
          <w:bCs/>
          <w:sz w:val="28"/>
          <w:szCs w:val="28"/>
        </w:rPr>
        <w:t>三、</w:t>
      </w:r>
      <w:r>
        <w:rPr>
          <w:rStyle w:val="20"/>
          <w:rFonts w:hint="eastAsia" w:ascii="仿宋" w:hAnsi="仿宋" w:eastAsia="仿宋"/>
          <w:sz w:val="28"/>
          <w:szCs w:val="28"/>
        </w:rPr>
        <w:t>支</w:t>
      </w:r>
      <w:r>
        <w:rPr>
          <w:rStyle w:val="20"/>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6</w:t>
      </w:r>
      <w:r>
        <w:rPr>
          <w:rFonts w:hint="eastAsia" w:ascii="仿宋" w:hAnsi="仿宋" w:eastAsia="仿宋"/>
          <w:sz w:val="28"/>
          <w:szCs w:val="28"/>
        </w:rPr>
        <w:fldChar w:fldCharType="end"/>
      </w:r>
    </w:p>
    <w:p>
      <w:pPr>
        <w:pStyle w:val="14"/>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20"/>
          <w:rFonts w:hint="eastAsia" w:ascii="仿宋" w:hAnsi="仿宋" w:eastAsia="仿宋"/>
          <w:sz w:val="28"/>
          <w:szCs w:val="28"/>
        </w:rPr>
        <w:t>四、财</w:t>
      </w:r>
      <w:r>
        <w:rPr>
          <w:rStyle w:val="20"/>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6</w:t>
      </w:r>
      <w:r>
        <w:rPr>
          <w:rFonts w:hint="eastAsia" w:ascii="仿宋" w:hAnsi="仿宋" w:eastAsia="仿宋"/>
          <w:sz w:val="28"/>
          <w:szCs w:val="28"/>
        </w:rPr>
        <w:fldChar w:fldCharType="end"/>
      </w:r>
    </w:p>
    <w:p>
      <w:pPr>
        <w:pStyle w:val="14"/>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20"/>
          <w:rFonts w:hint="eastAsia" w:ascii="仿宋" w:hAnsi="仿宋" w:eastAsia="仿宋"/>
          <w:sz w:val="28"/>
          <w:szCs w:val="28"/>
        </w:rPr>
        <w:t>五、一</w:t>
      </w:r>
      <w:r>
        <w:rPr>
          <w:rStyle w:val="20"/>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20"/>
          <w:rFonts w:hint="eastAsia" w:ascii="仿宋" w:hAnsi="仿宋" w:eastAsia="仿宋"/>
          <w:sz w:val="28"/>
          <w:szCs w:val="28"/>
        </w:rPr>
        <w:t>六、一</w:t>
      </w:r>
      <w:r>
        <w:rPr>
          <w:rStyle w:val="20"/>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rPr>
          <w:rFonts w:ascii="仿宋" w:hAnsi="仿宋" w:eastAsia="仿宋" w:cstheme="minorBidi"/>
          <w:sz w:val="28"/>
          <w:szCs w:val="28"/>
        </w:rPr>
      </w:pPr>
      <w:r>
        <w:fldChar w:fldCharType="begin"/>
      </w:r>
      <w:r>
        <w:instrText xml:space="preserve"> HYPERLINK \l "_Toc15396609" </w:instrText>
      </w:r>
      <w:r>
        <w:fldChar w:fldCharType="separate"/>
      </w:r>
      <w:r>
        <w:rPr>
          <w:rStyle w:val="20"/>
          <w:rFonts w:hint="eastAsia" w:ascii="仿宋" w:hAnsi="仿宋" w:eastAsia="仿宋"/>
          <w:sz w:val="28"/>
          <w:szCs w:val="28"/>
        </w:rPr>
        <w:t>七、</w:t>
      </w:r>
      <w:r>
        <w:rPr>
          <w:rStyle w:val="20"/>
          <w:rFonts w:hint="eastAsia" w:ascii="仿宋" w:hAnsi="仿宋" w:eastAsia="仿宋" w:cstheme="majorBidi"/>
          <w:bCs/>
          <w:sz w:val="28"/>
          <w:szCs w:val="28"/>
        </w:rPr>
        <w:t>财政拨款</w:t>
      </w:r>
      <w:r>
        <w:rPr>
          <w:rStyle w:val="20"/>
          <w:rFonts w:ascii="仿宋" w:hAnsi="仿宋" w:eastAsia="仿宋"/>
          <w:sz w:val="28"/>
          <w:szCs w:val="28"/>
        </w:rPr>
        <w:t>“</w:t>
      </w:r>
      <w:r>
        <w:rPr>
          <w:rStyle w:val="20"/>
          <w:rFonts w:hint="eastAsia" w:ascii="仿宋" w:hAnsi="仿宋" w:eastAsia="仿宋" w:cstheme="majorBidi"/>
          <w:bCs/>
          <w:sz w:val="28"/>
          <w:szCs w:val="28"/>
        </w:rPr>
        <w:t>三公”经费支出决算情况说明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"_Toc15396610" </w:instrText>
      </w:r>
      <w:r>
        <w:fldChar w:fldCharType="separate"/>
      </w:r>
      <w:r>
        <w:rPr>
          <w:rStyle w:val="20"/>
          <w:rFonts w:hint="eastAsia" w:ascii="仿宋" w:hAnsi="仿宋" w:eastAsia="仿宋"/>
          <w:sz w:val="28"/>
          <w:szCs w:val="28"/>
        </w:rPr>
        <w:t>八、</w:t>
      </w:r>
      <w:r>
        <w:rPr>
          <w:rStyle w:val="20"/>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"_Toc15396611" </w:instrText>
      </w:r>
      <w:r>
        <w:fldChar w:fldCharType="separate"/>
      </w:r>
      <w:r>
        <w:rPr>
          <w:rStyle w:val="20"/>
          <w:rFonts w:hint="eastAsia" w:ascii="仿宋" w:hAnsi="仿宋" w:eastAsia="仿宋" w:cstheme="majorBidi"/>
          <w:bCs/>
          <w:sz w:val="28"/>
          <w:szCs w:val="28"/>
        </w:rPr>
        <w:t>九、</w:t>
      </w:r>
      <w:r>
        <w:rPr>
          <w:rStyle w:val="20"/>
          <w:rFonts w:hint="eastAsia" w:ascii="仿宋" w:hAnsi="仿宋" w:eastAsia="仿宋"/>
          <w:sz w:val="28"/>
          <w:szCs w:val="28"/>
        </w:rPr>
        <w:t xml:space="preserve"> 国</w:t>
      </w:r>
      <w:r>
        <w:rPr>
          <w:rStyle w:val="20"/>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fldChar w:fldCharType="end"/>
      </w:r>
    </w:p>
    <w:p>
      <w:pPr>
        <w:pStyle w:val="14"/>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20"/>
          <w:rFonts w:hint="eastAsia" w:ascii="仿宋" w:hAnsi="仿宋" w:eastAsia="仿宋"/>
          <w:sz w:val="28"/>
          <w:szCs w:val="28"/>
        </w:rPr>
        <w:t>十</w:t>
      </w:r>
      <w:r>
        <w:rPr>
          <w:rStyle w:val="20"/>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hint="eastAsia" w:ascii="仿宋" w:hAnsi="仿宋" w:eastAsia="仿宋"/>
          <w:sz w:val="28"/>
          <w:szCs w:val="28"/>
        </w:rPr>
        <w:fldChar w:fldCharType="end"/>
      </w:r>
      <w:r>
        <w:rPr>
          <w:rFonts w:hint="eastAsia" w:ascii="仿宋" w:hAnsi="仿宋" w:eastAsia="仿宋"/>
          <w:sz w:val="28"/>
          <w:szCs w:val="28"/>
          <w:lang w:val="en-US" w:eastAsia="zh-CN"/>
        </w:rPr>
        <w:t>4</w:t>
      </w:r>
    </w:p>
    <w:p>
      <w:pPr>
        <w:pStyle w:val="2"/>
        <w:rPr>
          <w:rFonts w:hint="eastAsia"/>
          <w:lang w:val="en-US" w:eastAsia="zh-CN"/>
        </w:rPr>
      </w:pPr>
      <w:r>
        <w:fldChar w:fldCharType="begin"/>
      </w:r>
      <w:r>
        <w:instrText xml:space="preserve"> HYPERLINK \l "_Toc15396613" </w:instrText>
      </w:r>
      <w:r>
        <w:fldChar w:fldCharType="separate"/>
      </w:r>
      <w:r>
        <w:rPr>
          <w:rStyle w:val="20"/>
          <w:rFonts w:hint="eastAsia"/>
          <w:bCs/>
          <w:kern w:val="44"/>
        </w:rPr>
        <w:t>第三部分</w:t>
      </w:r>
      <w:r>
        <w:rPr>
          <w:rStyle w:val="20"/>
          <w:rFonts w:hint="eastAsia"/>
        </w:rPr>
        <w:t xml:space="preserve"> 名</w:t>
      </w:r>
      <w:r>
        <w:rPr>
          <w:rStyle w:val="20"/>
          <w:rFonts w:hint="eastAsia"/>
          <w:bCs/>
          <w:kern w:val="44"/>
        </w:rPr>
        <w:t>词解释</w:t>
      </w:r>
      <w:r>
        <w:tab/>
      </w:r>
      <w:r>
        <w:rPr>
          <w:rFonts w:hint="eastAsia"/>
          <w:lang w:val="en-US" w:eastAsia="zh-CN"/>
        </w:rPr>
        <w:t>1</w:t>
      </w:r>
      <w:r>
        <w:rPr>
          <w:rFonts w:hint="eastAsia"/>
        </w:rPr>
        <w:fldChar w:fldCharType="end"/>
      </w:r>
      <w:r>
        <w:rPr>
          <w:rFonts w:hint="eastAsia"/>
          <w:lang w:val="en-US" w:eastAsia="zh-CN"/>
        </w:rPr>
        <w:t>9</w:t>
      </w:r>
    </w:p>
    <w:p>
      <w:pPr>
        <w:pStyle w:val="2"/>
        <w:rPr>
          <w:rFonts w:hint="eastAsia" w:eastAsia="仿宋"/>
          <w:lang w:val="en-US" w:eastAsia="zh-CN"/>
        </w:rPr>
      </w:pPr>
      <w:r>
        <w:fldChar w:fldCharType="begin"/>
      </w:r>
      <w:r>
        <w:instrText xml:space="preserve"> HYPERLINK \l "_Toc15396613" </w:instrText>
      </w:r>
      <w:r>
        <w:fldChar w:fldCharType="separate"/>
      </w:r>
      <w:r>
        <w:rPr>
          <w:rStyle w:val="20"/>
          <w:rFonts w:hint="eastAsia"/>
          <w:bCs/>
          <w:kern w:val="44"/>
        </w:rPr>
        <w:t>第</w:t>
      </w:r>
      <w:r>
        <w:rPr>
          <w:rStyle w:val="20"/>
          <w:rFonts w:hint="eastAsia"/>
          <w:bCs/>
          <w:kern w:val="44"/>
          <w:lang w:eastAsia="zh-CN"/>
        </w:rPr>
        <w:t>四</w:t>
      </w:r>
      <w:r>
        <w:rPr>
          <w:rStyle w:val="20"/>
          <w:rFonts w:hint="eastAsia"/>
          <w:bCs/>
          <w:kern w:val="44"/>
        </w:rPr>
        <w:t>部分</w:t>
      </w:r>
      <w:r>
        <w:rPr>
          <w:rStyle w:val="20"/>
          <w:rFonts w:hint="eastAsia"/>
        </w:rPr>
        <w:t xml:space="preserve"> </w:t>
      </w:r>
      <w:r>
        <w:rPr>
          <w:rStyle w:val="20"/>
          <w:rFonts w:hint="eastAsia"/>
          <w:lang w:eastAsia="zh-CN"/>
        </w:rPr>
        <w:t>附件</w:t>
      </w:r>
      <w:r>
        <w:tab/>
      </w:r>
      <w:r>
        <w:rPr>
          <w:rFonts w:hint="eastAsia"/>
          <w:lang w:val="en-US" w:eastAsia="zh-CN"/>
        </w:rPr>
        <w:t>4</w:t>
      </w:r>
      <w:r>
        <w:rPr>
          <w:rFonts w:hint="eastAsia"/>
        </w:rPr>
        <w:fldChar w:fldCharType="end"/>
      </w:r>
      <w:r>
        <w:rPr>
          <w:rFonts w:hint="eastAsia"/>
          <w:lang w:val="en-US" w:eastAsia="zh-CN"/>
        </w:rPr>
        <w:t>1</w:t>
      </w:r>
    </w:p>
    <w:p>
      <w:pPr>
        <w:pStyle w:val="2"/>
        <w:rPr>
          <w:rFonts w:hint="eastAsia" w:eastAsia="仿宋" w:cstheme="minorBidi"/>
          <w:lang w:val="en-US" w:eastAsia="zh-CN"/>
        </w:rPr>
      </w:pPr>
      <w:r>
        <w:fldChar w:fldCharType="begin"/>
      </w:r>
      <w:r>
        <w:instrText xml:space="preserve"> HYPERLINK \l "_Toc15396618" </w:instrText>
      </w:r>
      <w:r>
        <w:fldChar w:fldCharType="separate"/>
      </w:r>
      <w:r>
        <w:rPr>
          <w:rStyle w:val="20"/>
          <w:rFonts w:hint="eastAsia"/>
        </w:rPr>
        <w:t>第</w:t>
      </w:r>
      <w:r>
        <w:rPr>
          <w:rStyle w:val="20"/>
          <w:rFonts w:hint="eastAsia"/>
          <w:bCs/>
          <w:kern w:val="44"/>
          <w:lang w:eastAsia="zh-CN"/>
        </w:rPr>
        <w:t>五</w:t>
      </w:r>
      <w:r>
        <w:rPr>
          <w:rStyle w:val="20"/>
          <w:rFonts w:hint="eastAsia"/>
          <w:bCs/>
          <w:kern w:val="44"/>
        </w:rPr>
        <w:t>部分附表</w:t>
      </w:r>
      <w:r>
        <w:tab/>
      </w:r>
      <w:r>
        <w:rPr>
          <w:rFonts w:hint="eastAsia"/>
          <w:lang w:val="en-US" w:eastAsia="zh-CN"/>
        </w:rPr>
        <w:t>4</w:t>
      </w:r>
      <w:r>
        <w:rPr>
          <w:rFonts w:hint="eastAsia"/>
        </w:rPr>
        <w:fldChar w:fldCharType="end"/>
      </w:r>
      <w:r>
        <w:rPr>
          <w:rFonts w:hint="eastAsia"/>
          <w:lang w:val="en-US" w:eastAsia="zh-CN"/>
        </w:rPr>
        <w:t>2</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20"/>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20"/>
          <w:rFonts w:hint="eastAsia" w:ascii="仿宋" w:hAnsi="仿宋" w:eastAsia="仿宋"/>
          <w:sz w:val="28"/>
          <w:szCs w:val="28"/>
        </w:rPr>
        <w:t>收入</w:t>
      </w:r>
      <w:r>
        <w:rPr>
          <w:rStyle w:val="20"/>
          <w:rFonts w:hint="eastAsia" w:ascii="仿宋" w:hAnsi="仿宋" w:eastAsia="仿宋"/>
          <w:sz w:val="28"/>
          <w:szCs w:val="28"/>
          <w:lang w:eastAsia="zh-CN"/>
        </w:rPr>
        <w:t>决算</w:t>
      </w:r>
      <w:r>
        <w:rPr>
          <w:rStyle w:val="20"/>
          <w:rFonts w:hint="eastAsia" w:ascii="仿宋" w:hAnsi="仿宋" w:eastAsia="仿宋"/>
          <w:sz w:val="28"/>
          <w:szCs w:val="28"/>
        </w:rPr>
        <w:t>表</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20"/>
          <w:rFonts w:hint="eastAsia" w:ascii="仿宋" w:hAnsi="仿宋" w:eastAsia="仿宋"/>
          <w:sz w:val="28"/>
          <w:szCs w:val="28"/>
        </w:rPr>
        <w:t>支出</w:t>
      </w:r>
      <w:r>
        <w:rPr>
          <w:rStyle w:val="20"/>
          <w:rFonts w:hint="eastAsia" w:ascii="仿宋" w:hAnsi="仿宋" w:eastAsia="仿宋"/>
          <w:sz w:val="28"/>
          <w:szCs w:val="28"/>
          <w:lang w:eastAsia="zh-CN"/>
        </w:rPr>
        <w:t>决算</w:t>
      </w:r>
      <w:r>
        <w:rPr>
          <w:rStyle w:val="20"/>
          <w:rFonts w:hint="eastAsia" w:ascii="仿宋" w:hAnsi="仿宋" w:eastAsia="仿宋"/>
          <w:sz w:val="28"/>
          <w:szCs w:val="28"/>
        </w:rPr>
        <w:t>表</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20"/>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20"/>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20"/>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20"/>
          <w:rFonts w:hint="eastAsia" w:ascii="仿宋" w:hAnsi="仿宋" w:eastAsia="仿宋"/>
          <w:sz w:val="28"/>
          <w:szCs w:val="28"/>
        </w:rPr>
        <w:t>一般公共预算财政拨款基本支出决算</w:t>
      </w:r>
      <w:r>
        <w:rPr>
          <w:rStyle w:val="20"/>
          <w:rFonts w:hint="eastAsia" w:ascii="仿宋" w:hAnsi="仿宋" w:eastAsia="仿宋"/>
          <w:sz w:val="28"/>
          <w:szCs w:val="28"/>
          <w:lang w:eastAsia="zh-CN"/>
        </w:rPr>
        <w:t>明细</w:t>
      </w:r>
      <w:r>
        <w:rPr>
          <w:rStyle w:val="20"/>
          <w:rFonts w:hint="eastAsia" w:ascii="仿宋" w:hAnsi="仿宋" w:eastAsia="仿宋"/>
          <w:sz w:val="28"/>
          <w:szCs w:val="28"/>
        </w:rPr>
        <w:t>表</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20"/>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r>
        <w:rPr>
          <w:rFonts w:hint="eastAsia" w:ascii="仿宋" w:hAnsi="仿宋" w:eastAsia="仿宋"/>
          <w:sz w:val="28"/>
          <w:szCs w:val="28"/>
          <w:lang w:val="en-US" w:eastAsia="zh-CN"/>
        </w:rPr>
        <w:t>2</w:t>
      </w:r>
    </w:p>
    <w:p>
      <w:pPr>
        <w:pStyle w:val="14"/>
        <w:pageBreakBefore w:val="0"/>
        <w:kinsoku/>
        <w:wordWrap/>
        <w:overflowPunct/>
        <w:topLinePunct w:val="0"/>
        <w:bidi w:val="0"/>
        <w:spacing w:line="576" w:lineRule="exact"/>
        <w:jc w:val="both"/>
        <w:textAlignment w:val="auto"/>
        <w:rPr>
          <w:rFonts w:hint="default" w:ascii="仿宋" w:hAnsi="仿宋" w:eastAsia="仿宋"/>
          <w:color w:val="auto"/>
          <w:sz w:val="28"/>
          <w:szCs w:val="28"/>
          <w:lang w:val="en-US" w:eastAsia="zh-CN"/>
        </w:rPr>
      </w:pPr>
      <w:r>
        <w:rPr>
          <w:rFonts w:ascii="仿宋" w:hAnsi="仿宋" w:eastAsia="仿宋"/>
          <w:color w:val="000000"/>
          <w:sz w:val="24"/>
        </w:rPr>
        <w:fldChar w:fldCharType="end"/>
      </w:r>
      <w:r>
        <w:rPr>
          <w:rFonts w:hint="eastAsia" w:ascii="仿宋" w:hAnsi="仿宋" w:eastAsia="仿宋"/>
          <w:color w:val="auto"/>
          <w:sz w:val="28"/>
          <w:szCs w:val="28"/>
          <w:lang w:eastAsia="zh-CN"/>
        </w:rPr>
        <w:t>十、政府性基金预算财政拨款收入支出决算表</w:t>
      </w:r>
      <w:r>
        <w:rPr>
          <w:rFonts w:ascii="仿宋" w:hAnsi="仿宋" w:eastAsia="仿宋"/>
          <w:color w:val="auto"/>
          <w:sz w:val="28"/>
          <w:szCs w:val="28"/>
        </w:rPr>
        <w:tab/>
      </w:r>
      <w:r>
        <w:rPr>
          <w:rFonts w:hint="eastAsia" w:ascii="仿宋" w:hAnsi="仿宋" w:eastAsia="仿宋"/>
          <w:color w:val="auto"/>
          <w:sz w:val="28"/>
          <w:szCs w:val="28"/>
          <w:lang w:val="en-US" w:eastAsia="zh-CN"/>
        </w:rPr>
        <w:t>42</w:t>
      </w:r>
    </w:p>
    <w:p>
      <w:pPr>
        <w:pStyle w:val="14"/>
        <w:pageBreakBefore w:val="0"/>
        <w:kinsoku/>
        <w:wordWrap/>
        <w:overflowPunct/>
        <w:topLinePunct w:val="0"/>
        <w:bidi w:val="0"/>
        <w:spacing w:line="576" w:lineRule="exact"/>
        <w:jc w:val="both"/>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十一、国有资本经营预算财政拨款收入支出决算表</w:t>
      </w:r>
      <w:r>
        <w:rPr>
          <w:rFonts w:ascii="仿宋" w:hAnsi="仿宋" w:eastAsia="仿宋"/>
          <w:color w:val="auto"/>
          <w:sz w:val="28"/>
          <w:szCs w:val="28"/>
        </w:rPr>
        <w:tab/>
      </w:r>
      <w:r>
        <w:rPr>
          <w:rFonts w:hint="eastAsia" w:ascii="仿宋" w:hAnsi="仿宋" w:eastAsia="仿宋"/>
          <w:color w:val="auto"/>
          <w:sz w:val="28"/>
          <w:szCs w:val="28"/>
          <w:lang w:val="en-US" w:eastAsia="zh-CN"/>
        </w:rPr>
        <w:t>42</w:t>
      </w:r>
    </w:p>
    <w:p>
      <w:pPr>
        <w:pStyle w:val="14"/>
        <w:pageBreakBefore w:val="0"/>
        <w:kinsoku/>
        <w:wordWrap/>
        <w:overflowPunct/>
        <w:topLinePunct w:val="0"/>
        <w:bidi w:val="0"/>
        <w:spacing w:line="576" w:lineRule="exact"/>
        <w:jc w:val="both"/>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十二、国有资本经营预算财政拨款支出决算表</w:t>
      </w:r>
      <w:r>
        <w:rPr>
          <w:rFonts w:ascii="仿宋" w:hAnsi="仿宋" w:eastAsia="仿宋"/>
          <w:color w:val="auto"/>
          <w:sz w:val="28"/>
          <w:szCs w:val="28"/>
        </w:rPr>
        <w:tab/>
      </w:r>
      <w:r>
        <w:rPr>
          <w:rFonts w:hint="eastAsia" w:ascii="仿宋" w:hAnsi="仿宋" w:eastAsia="仿宋"/>
          <w:color w:val="auto"/>
          <w:sz w:val="28"/>
          <w:szCs w:val="28"/>
          <w:lang w:val="en-US" w:eastAsia="zh-CN"/>
        </w:rPr>
        <w:t>42</w:t>
      </w:r>
    </w:p>
    <w:p>
      <w:pPr>
        <w:rPr>
          <w:rFonts w:hint="default"/>
          <w:lang w:val="en-US" w:eastAsia="zh-CN"/>
        </w:rPr>
      </w:pPr>
      <w:r>
        <w:rPr>
          <w:rFonts w:hint="eastAsia" w:ascii="仿宋" w:hAnsi="仿宋" w:eastAsia="仿宋"/>
          <w:color w:val="auto"/>
          <w:sz w:val="28"/>
          <w:szCs w:val="28"/>
          <w:lang w:val="en-US" w:eastAsia="zh-CN"/>
        </w:rPr>
        <w:t xml:space="preserve">   </w:t>
      </w:r>
    </w:p>
    <w:p>
      <w:pPr>
        <w:rPr>
          <w:rFonts w:hint="default"/>
          <w:lang w:val="en-US" w:eastAsia="zh-CN"/>
        </w:rPr>
      </w:pPr>
    </w:p>
    <w:p>
      <w:pPr>
        <w:widowControl/>
        <w:jc w:val="left"/>
        <w:rPr>
          <w:rFonts w:ascii="仿宋" w:hAnsi="仿宋" w:eastAsia="仿宋"/>
          <w:color w:val="000000"/>
          <w:sz w:val="24"/>
        </w:rPr>
      </w:pP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Fonts w:ascii="仿宋" w:hAnsi="仿宋" w:eastAsia="仿宋"/>
          <w:bCs/>
          <w:color w:val="000000"/>
          <w:sz w:val="32"/>
          <w:szCs w:val="32"/>
        </w:rPr>
      </w:pPr>
      <w:bookmarkStart w:id="14" w:name="_Toc15396600"/>
      <w:bookmarkStart w:id="15" w:name="_Toc15377197"/>
      <w:r>
        <w:rPr>
          <w:rFonts w:hint="eastAsia" w:ascii="黑体" w:hAnsi="黑体" w:eastAsia="黑体"/>
          <w:b w:val="0"/>
          <w:color w:val="000000"/>
        </w:rPr>
        <w:t>一、基</w:t>
      </w:r>
      <w:r>
        <w:rPr>
          <w:rStyle w:val="30"/>
          <w:rFonts w:hint="eastAsia" w:ascii="黑体" w:hAnsi="黑体" w:eastAsia="黑体"/>
          <w:b w:val="0"/>
          <w:bCs w:val="0"/>
        </w:rPr>
        <w:t>本职能</w:t>
      </w:r>
      <w:bookmarkEnd w:id="14"/>
      <w:bookmarkEnd w:id="15"/>
      <w:bookmarkStart w:id="16" w:name="_Toc15377198"/>
      <w:bookmarkStart w:id="17" w:name="_Toc15378445"/>
    </w:p>
    <w:bookmarkEnd w:id="16"/>
    <w:bookmarkEnd w:id="17"/>
    <w:p>
      <w:pPr>
        <w:pStyle w:val="6"/>
        <w:adjustRightInd w:val="0"/>
        <w:snapToGrid w:val="0"/>
        <w:spacing w:beforeLines="0" w:line="560" w:lineRule="exact"/>
        <w:ind w:firstLine="672" w:firstLineChars="210"/>
        <w:rPr>
          <w:rFonts w:hAnsi="楷体_GB2312" w:cs="楷体_GB2312"/>
          <w:color w:val="000000"/>
          <w:sz w:val="32"/>
          <w:szCs w:val="32"/>
        </w:rPr>
      </w:pPr>
      <w:bookmarkStart w:id="18" w:name="_Toc15378446"/>
      <w:bookmarkStart w:id="19" w:name="_Toc15377199"/>
      <w:r>
        <w:rPr>
          <w:rFonts w:hint="eastAsia" w:hAnsi="楷体_GB2312" w:cs="楷体_GB2312"/>
          <w:color w:val="000000"/>
          <w:sz w:val="32"/>
          <w:szCs w:val="32"/>
        </w:rPr>
        <w:t>主要职责为：负责辖区内</w:t>
      </w:r>
      <w:r>
        <w:rPr>
          <w:rFonts w:hint="eastAsia" w:hAnsi="楷体_GB2312" w:cs="楷体_GB2312"/>
          <w:color w:val="000000"/>
          <w:sz w:val="32"/>
          <w:szCs w:val="32"/>
          <w:lang w:eastAsia="zh-CN"/>
        </w:rPr>
        <w:t>经济社区发展、</w:t>
      </w:r>
      <w:r>
        <w:rPr>
          <w:rFonts w:hint="eastAsia" w:hAnsi="楷体_GB2312" w:cs="楷体_GB2312"/>
          <w:color w:val="000000"/>
          <w:sz w:val="32"/>
          <w:szCs w:val="32"/>
        </w:rPr>
        <w:t>安全生产、信访维稳、房屋征收与补偿、计划生育、民政、劳动就业、社会保障、环境卫生等工作。</w:t>
      </w:r>
    </w:p>
    <w:bookmarkEnd w:id="18"/>
    <w:bookmarkEnd w:id="19"/>
    <w:p>
      <w:pPr>
        <w:pStyle w:val="4"/>
        <w:rPr>
          <w:rStyle w:val="30"/>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0"/>
      <w:bookmarkEnd w:id="21"/>
    </w:p>
    <w:p>
      <w:pPr>
        <w:pStyle w:val="34"/>
        <w:spacing w:line="490" w:lineRule="exact"/>
        <w:ind w:firstLine="640" w:firstLineChars="200"/>
        <w:jc w:val="left"/>
        <w:rPr>
          <w:rFonts w:ascii="仿宋_GB2312" w:hAnsi="仿宋_GB2312" w:eastAsia="仿宋_GB2312" w:cs="仿宋_GB2312"/>
          <w:sz w:val="32"/>
          <w:szCs w:val="32"/>
        </w:rPr>
      </w:pPr>
      <w:bookmarkStart w:id="22" w:name="_Toc15396602"/>
      <w:bookmarkStart w:id="23" w:name="_Toc15377204"/>
      <w:r>
        <w:rPr>
          <w:rFonts w:hint="eastAsia" w:ascii="仿宋_GB2312" w:eastAsia="仿宋_GB2312" w:cs="仿宋_GB2312"/>
          <w:sz w:val="32"/>
          <w:szCs w:val="32"/>
        </w:rPr>
        <w:t>下西坝街道办事处地处广元市城区以西，幅员面积</w:t>
      </w:r>
      <w:r>
        <w:rPr>
          <w:rFonts w:ascii="仿宋_GB2312" w:eastAsia="仿宋_GB2312" w:cs="仿宋_GB2312"/>
          <w:sz w:val="32"/>
          <w:szCs w:val="32"/>
        </w:rPr>
        <w:t>12.6</w:t>
      </w:r>
      <w:r>
        <w:rPr>
          <w:rFonts w:hint="eastAsia" w:ascii="仿宋_GB2312" w:eastAsia="仿宋_GB2312" w:cs="仿宋_GB2312"/>
          <w:sz w:val="32"/>
          <w:szCs w:val="32"/>
        </w:rPr>
        <w:t>平方公里，下辖</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个社区（八一社区、下西社区、活力社区、王家营社区、南陵社区、曾家营社区、树仁社区、铁路社区、</w:t>
      </w:r>
      <w:r>
        <w:rPr>
          <w:rFonts w:hint="eastAsia" w:ascii="仿宋_GB2312" w:eastAsia="仿宋_GB2312" w:cs="仿宋_GB2312"/>
          <w:sz w:val="32"/>
          <w:szCs w:val="32"/>
          <w:lang w:eastAsia="zh-CN"/>
        </w:rPr>
        <w:t>惠家沟社区</w:t>
      </w:r>
      <w:r>
        <w:rPr>
          <w:rFonts w:hint="eastAsia" w:ascii="仿宋_GB2312" w:eastAsia="仿宋_GB2312" w:cs="仿宋_GB2312"/>
          <w:sz w:val="32"/>
          <w:szCs w:val="32"/>
        </w:rPr>
        <w:t>）。</w:t>
      </w:r>
      <w:r>
        <w:rPr>
          <w:rFonts w:hint="eastAsia" w:ascii="仿宋_GB2312" w:hAnsi="仿宋_GB2312" w:eastAsia="仿宋_GB2312" w:cs="仿宋_GB2312"/>
          <w:sz w:val="32"/>
          <w:szCs w:val="32"/>
        </w:rPr>
        <w:t>实际财政供养总人数34人，其中：在职正式人员1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名，聘用人员20名。</w:t>
      </w:r>
    </w:p>
    <w:p>
      <w:pPr>
        <w:pStyle w:val="3"/>
        <w:ind w:right="440"/>
        <w:jc w:val="right"/>
        <w:rPr>
          <w:rStyle w:val="29"/>
          <w:rFonts w:ascii="黑体" w:hAnsi="黑体" w:eastAsia="黑体"/>
          <w:b w:val="0"/>
          <w:bCs w:val="0"/>
        </w:rPr>
      </w:pPr>
      <w:r>
        <w:rPr>
          <w:rFonts w:hint="eastAsia" w:ascii="黑体" w:hAnsi="黑体" w:eastAsia="黑体"/>
          <w:b w:val="0"/>
          <w:color w:val="000000"/>
        </w:rPr>
        <w:t>第二部分</w:t>
      </w:r>
      <w:r>
        <w:rPr>
          <w:rStyle w:val="29"/>
          <w:rFonts w:hint="eastAsia" w:ascii="黑体" w:hAnsi="黑体" w:eastAsia="黑体"/>
          <w:b w:val="0"/>
          <w:bCs w:val="0"/>
        </w:rPr>
        <w:t>202</w:t>
      </w:r>
      <w:r>
        <w:rPr>
          <w:rStyle w:val="29"/>
          <w:rFonts w:hint="eastAsia" w:ascii="黑体" w:hAnsi="黑体" w:eastAsia="黑体"/>
          <w:b w:val="0"/>
          <w:bCs w:val="0"/>
          <w:lang w:val="en-US" w:eastAsia="zh-CN"/>
        </w:rPr>
        <w:t>2</w:t>
      </w:r>
      <w:r>
        <w:rPr>
          <w:rStyle w:val="29"/>
          <w:rFonts w:hint="eastAsia" w:ascii="黑体" w:hAnsi="黑体" w:eastAsia="黑体"/>
          <w:b w:val="0"/>
          <w:bCs w:val="0"/>
        </w:rPr>
        <w:t>年度部门决算情况说明</w:t>
      </w:r>
      <w:bookmarkEnd w:id="22"/>
      <w:bookmarkEnd w:id="23"/>
    </w:p>
    <w:p/>
    <w:p>
      <w:pPr>
        <w:pStyle w:val="28"/>
        <w:numPr>
          <w:ilvl w:val="0"/>
          <w:numId w:val="1"/>
        </w:numPr>
        <w:spacing w:line="600" w:lineRule="exact"/>
        <w:ind w:firstLineChars="0"/>
        <w:outlineLvl w:val="1"/>
        <w:rPr>
          <w:rStyle w:val="30"/>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1362.48</w:t>
      </w:r>
      <w:r>
        <w:rPr>
          <w:rFonts w:hint="eastAsia" w:ascii="仿宋" w:hAnsi="仿宋" w:eastAsia="仿宋"/>
          <w:sz w:val="32"/>
          <w:szCs w:val="32"/>
        </w:rPr>
        <w:t>万元。与20</w:t>
      </w:r>
      <w:r>
        <w:rPr>
          <w:rFonts w:hint="eastAsia" w:ascii="仿宋" w:hAnsi="仿宋" w:eastAsia="仿宋"/>
          <w:sz w:val="32"/>
          <w:szCs w:val="32"/>
          <w:lang w:val="en-US" w:eastAsia="zh-CN"/>
        </w:rPr>
        <w:t>21</w:t>
      </w:r>
      <w:r>
        <w:rPr>
          <w:rFonts w:hint="eastAsia" w:ascii="仿宋" w:hAnsi="仿宋" w:eastAsia="仿宋"/>
          <w:sz w:val="32"/>
          <w:szCs w:val="32"/>
        </w:rPr>
        <w:t>年相比，收、支总计</w:t>
      </w:r>
      <w:r>
        <w:rPr>
          <w:rFonts w:hint="eastAsia" w:ascii="仿宋" w:hAnsi="仿宋" w:eastAsia="仿宋"/>
          <w:sz w:val="32"/>
          <w:szCs w:val="32"/>
          <w:lang w:eastAsia="zh-CN"/>
        </w:rPr>
        <w:t>减少</w:t>
      </w:r>
      <w:r>
        <w:rPr>
          <w:rFonts w:hint="eastAsia" w:ascii="仿宋" w:hAnsi="仿宋" w:eastAsia="仿宋"/>
          <w:sz w:val="32"/>
          <w:szCs w:val="32"/>
          <w:lang w:val="en-US" w:eastAsia="zh-CN"/>
        </w:rPr>
        <w:t>652.99</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32.35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老旧小区改造项目减少</w:t>
      </w:r>
      <w:r>
        <w:rPr>
          <w:rFonts w:hint="eastAsia" w:ascii="仿宋" w:hAnsi="仿宋" w:eastAsia="仿宋"/>
          <w:sz w:val="32"/>
          <w:szCs w:val="32"/>
        </w:rPr>
        <w:t>。</w:t>
      </w:r>
    </w:p>
    <w:p>
      <w:pPr>
        <w:pStyle w:val="6"/>
        <w:pageBreakBefore w:val="0"/>
        <w:kinsoku/>
        <w:wordWrap/>
        <w:overflowPunct/>
        <w:topLinePunct w:val="0"/>
        <w:bidi w:val="0"/>
        <w:spacing w:line="576" w:lineRule="exact"/>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p>
    <w:p>
      <w:pPr>
        <w:pStyle w:val="16"/>
        <w:pageBreakBefore w:val="0"/>
        <w:kinsoku/>
        <w:wordWrap/>
        <w:overflowPunct/>
        <w:topLinePunct w:val="0"/>
        <w:bidi w:val="0"/>
        <w:spacing w:line="576" w:lineRule="exact"/>
        <w:jc w:val="both"/>
        <w:textAlignment w:val="auto"/>
        <w:rPr>
          <w:rFonts w:ascii="仿宋_GB2312" w:eastAsia="仿宋_GB2312"/>
          <w:color w:val="auto"/>
          <w:sz w:val="32"/>
          <w:szCs w:val="32"/>
          <w:highlight w:val="none"/>
        </w:rPr>
      </w:pPr>
    </w:p>
    <w:p>
      <w:pPr>
        <w:pStyle w:val="6"/>
        <w:pageBreakBefore w:val="0"/>
        <w:kinsoku/>
        <w:wordWrap/>
        <w:overflowPunct/>
        <w:topLinePunct w:val="0"/>
        <w:bidi w:val="0"/>
        <w:spacing w:line="576" w:lineRule="exact"/>
        <w:jc w:val="both"/>
        <w:textAlignment w:val="auto"/>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（图1：收、支决算总计变动情况图）</w:t>
      </w:r>
      <w:r>
        <w:rPr>
          <w:rFonts w:hint="eastAsia" w:ascii="黑体" w:hAnsi="黑体" w:eastAsia="黑体" w:cs="黑体"/>
          <w:color w:val="000000" w:themeColor="text1"/>
          <w:sz w:val="32"/>
          <w:szCs w:val="32"/>
          <w:highlight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252095</wp:posOffset>
            </wp:positionH>
            <wp:positionV relativeFrom="paragraph">
              <wp:posOffset>-8742680</wp:posOffset>
            </wp:positionV>
            <wp:extent cx="4706620" cy="3416935"/>
            <wp:effectExtent l="4445" t="4445" r="13335" b="76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000000"/>
          <w:sz w:val="32"/>
          <w:szCs w:val="32"/>
        </w:rPr>
      </w:pPr>
    </w:p>
    <w:p>
      <w:pPr>
        <w:pStyle w:val="28"/>
        <w:numPr>
          <w:ilvl w:val="0"/>
          <w:numId w:val="1"/>
        </w:numPr>
        <w:spacing w:line="600" w:lineRule="exact"/>
        <w:ind w:firstLineChars="0"/>
        <w:outlineLvl w:val="1"/>
        <w:rPr>
          <w:rStyle w:val="30"/>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30"/>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1362.48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1106.48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81</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235.66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20.34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rPr>
        <w:t>；</w:t>
      </w:r>
    </w:p>
    <w:p>
      <w:pPr>
        <w:pStyle w:val="6"/>
        <w:ind w:firstLine="2240" w:firstLineChars="700"/>
        <w:rPr>
          <w:rFonts w:hint="eastAsia" w:ascii="黑体" w:hAnsi="黑体" w:eastAsia="黑体" w:cs="黑体"/>
          <w:b w:val="0"/>
          <w:bCs w:val="0"/>
          <w:color w:val="000000" w:themeColor="text1"/>
          <w:sz w:val="32"/>
          <w:szCs w:val="32"/>
          <w:highlight w:val="none"/>
          <w14:textFill>
            <w14:solidFill>
              <w14:schemeClr w14:val="tx1"/>
            </w14:solidFill>
          </w14:textFill>
        </w:rPr>
      </w:pPr>
    </w:p>
    <w:p>
      <w:pPr>
        <w:pStyle w:val="6"/>
        <w:ind w:firstLine="2240" w:firstLineChars="700"/>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175895</wp:posOffset>
            </wp:positionH>
            <wp:positionV relativeFrom="page">
              <wp:posOffset>6433820</wp:posOffset>
            </wp:positionV>
            <wp:extent cx="4774565" cy="2439670"/>
            <wp:effectExtent l="4445" t="4445" r="21590" b="1333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cs="黑体"/>
          <w:b w:val="0"/>
          <w:bCs w:val="0"/>
          <w:color w:val="000000" w:themeColor="text1"/>
          <w:sz w:val="32"/>
          <w:szCs w:val="32"/>
          <w:highlight w:val="none"/>
          <w14:textFill>
            <w14:solidFill>
              <w14:schemeClr w14:val="tx1"/>
            </w14:solidFill>
          </w14:textFill>
        </w:rPr>
        <w:t>（图2：收入决算结构图）</w:t>
      </w:r>
    </w:p>
    <w:p>
      <w:pPr>
        <w:pStyle w:val="28"/>
        <w:numPr>
          <w:ilvl w:val="0"/>
          <w:numId w:val="1"/>
        </w:numPr>
        <w:spacing w:line="600" w:lineRule="exact"/>
        <w:ind w:firstLineChars="0"/>
        <w:outlineLvl w:val="1"/>
        <w:rPr>
          <w:rStyle w:val="30"/>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30"/>
          <w:rFonts w:hint="eastAsia" w:ascii="黑体" w:hAnsi="黑体" w:eastAsia="黑体"/>
          <w:b w:val="0"/>
        </w:rPr>
        <w:t>出决算情况说明</w:t>
      </w:r>
      <w:bookmarkEnd w:id="28"/>
      <w:bookmarkEnd w:id="29"/>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1362.48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430.89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931.59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68</w:t>
      </w:r>
      <w:r>
        <w:rPr>
          <w:rFonts w:ascii="仿宋" w:hAnsi="仿宋" w:eastAsia="仿宋"/>
          <w:color w:val="000000"/>
          <w:sz w:val="32"/>
          <w:szCs w:val="32"/>
        </w:rPr>
        <w:t>%</w:t>
      </w:r>
      <w:r>
        <w:rPr>
          <w:rFonts w:hint="eastAsia" w:ascii="仿宋" w:hAnsi="仿宋" w:eastAsia="仿宋"/>
          <w:color w:val="000000"/>
          <w:sz w:val="32"/>
          <w:szCs w:val="32"/>
        </w:rPr>
        <w:t>；</w:t>
      </w:r>
    </w:p>
    <w:p>
      <w:pPr>
        <w:pStyle w:val="6"/>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469265</wp:posOffset>
            </wp:positionH>
            <wp:positionV relativeFrom="paragraph">
              <wp:posOffset>90805</wp:posOffset>
            </wp:positionV>
            <wp:extent cx="4926965" cy="1891665"/>
            <wp:effectExtent l="4445" t="4445" r="21590" b="889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30" w:name="_Toc15396606"/>
      <w:bookmarkStart w:id="31" w:name="_Toc15377208"/>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（图3：支出决算结构图）</w:t>
      </w:r>
    </w:p>
    <w:p>
      <w:pPr>
        <w:pStyle w:val="6"/>
        <w:ind w:firstLine="640" w:firstLineChars="200"/>
        <w:rPr>
          <w:rStyle w:val="30"/>
          <w:rFonts w:ascii="黑体" w:hAnsi="黑体" w:eastAsia="黑体"/>
          <w:b w:val="0"/>
        </w:rPr>
      </w:pPr>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1362.48</w:t>
      </w:r>
      <w:r>
        <w:rPr>
          <w:rFonts w:hint="eastAsia" w:ascii="仿宋" w:hAnsi="仿宋" w:eastAsia="仿宋"/>
          <w:color w:val="000000"/>
          <w:sz w:val="32"/>
          <w:szCs w:val="32"/>
        </w:rPr>
        <w:t>万元。与</w:t>
      </w: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年相比，财政拨款收、支总计</w:t>
      </w:r>
      <w:r>
        <w:rPr>
          <w:rFonts w:hint="eastAsia" w:ascii="仿宋" w:hAnsi="仿宋" w:eastAsia="仿宋"/>
          <w:sz w:val="32"/>
          <w:szCs w:val="32"/>
        </w:rPr>
        <w:t>各</w:t>
      </w:r>
      <w:r>
        <w:rPr>
          <w:rFonts w:hint="eastAsia" w:ascii="仿宋" w:hAnsi="仿宋" w:eastAsia="仿宋"/>
          <w:sz w:val="32"/>
          <w:szCs w:val="32"/>
          <w:lang w:eastAsia="zh-CN"/>
        </w:rPr>
        <w:t>减少</w:t>
      </w:r>
      <w:r>
        <w:rPr>
          <w:rFonts w:hint="eastAsia" w:ascii="仿宋" w:hAnsi="仿宋" w:eastAsia="仿宋"/>
          <w:sz w:val="32"/>
          <w:szCs w:val="32"/>
          <w:lang w:val="en-US" w:eastAsia="zh-CN"/>
        </w:rPr>
        <w:t>652.99</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32.35</w:t>
      </w:r>
      <w:r>
        <w:rPr>
          <w:rFonts w:hint="eastAsia" w:ascii="仿宋" w:hAnsi="仿宋" w:eastAsia="仿宋"/>
          <w:sz w:val="32"/>
          <w:szCs w:val="32"/>
        </w:rPr>
        <w:t>%。主要变动原因是</w:t>
      </w:r>
      <w:r>
        <w:rPr>
          <w:rFonts w:hint="eastAsia" w:ascii="仿宋" w:hAnsi="仿宋" w:eastAsia="仿宋"/>
          <w:sz w:val="32"/>
          <w:szCs w:val="32"/>
          <w:lang w:eastAsia="zh-CN"/>
        </w:rPr>
        <w:t>老旧小区改造项目减少</w:t>
      </w:r>
      <w:r>
        <w:rPr>
          <w:rFonts w:hint="eastAsia" w:ascii="仿宋" w:hAnsi="仿宋" w:eastAsia="仿宋"/>
          <w:sz w:val="32"/>
          <w:szCs w:val="32"/>
        </w:rPr>
        <w:t>。</w:t>
      </w:r>
    </w:p>
    <w:p>
      <w:pPr>
        <w:pStyle w:val="6"/>
        <w:ind w:firstLine="1285" w:firstLineChars="400"/>
        <w:rPr>
          <w:rFonts w:hint="eastAsia" w:ascii="仿宋" w:hAnsi="仿宋" w:eastAsia="仿宋"/>
          <w:sz w:val="32"/>
          <w:szCs w:val="32"/>
        </w:rPr>
      </w:pPr>
      <w:r>
        <w:rPr>
          <w:rFonts w:hint="eastAsia" w:ascii="仿宋" w:hAnsi="仿宋" w:eastAsia="仿宋"/>
          <w:b/>
          <w:bCs/>
          <w:color w:val="auto"/>
          <w:sz w:val="32"/>
          <w:szCs w:val="32"/>
          <w:highlight w:val="none"/>
        </w:rPr>
        <w:t>（图4：财政拨款收、支决算总计变动情况）</w:t>
      </w:r>
      <w:r>
        <w:rPr>
          <w:rFonts w:hint="eastAsia" w:ascii="黑体" w:hAnsi="黑体" w:eastAsia="黑体" w:cs="黑体"/>
          <w:b/>
          <w:bCs/>
          <w:color w:val="000000" w:themeColor="text1"/>
          <w:sz w:val="32"/>
          <w:szCs w:val="32"/>
          <w:highlight w:val="none"/>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300355</wp:posOffset>
            </wp:positionH>
            <wp:positionV relativeFrom="paragraph">
              <wp:posOffset>163830</wp:posOffset>
            </wp:positionV>
            <wp:extent cx="5018405" cy="2304415"/>
            <wp:effectExtent l="5080" t="4445" r="5715" b="1524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Fonts w:hint="eastAsia" w:ascii="黑体" w:hAnsi="黑体" w:eastAsia="黑体"/>
          <w:color w:val="000000"/>
          <w:sz w:val="32"/>
          <w:szCs w:val="32"/>
        </w:rPr>
      </w:pPr>
      <w:bookmarkStart w:id="32" w:name="_Toc15377209"/>
      <w:bookmarkStart w:id="33" w:name="_Toc15396607"/>
    </w:p>
    <w:p>
      <w:pPr>
        <w:spacing w:line="600" w:lineRule="exact"/>
        <w:ind w:firstLine="640" w:firstLineChars="200"/>
        <w:outlineLvl w:val="1"/>
        <w:rPr>
          <w:rStyle w:val="30"/>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1106.48</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年相比，一般公共预算财政拨</w:t>
      </w:r>
      <w:r>
        <w:rPr>
          <w:rFonts w:hint="eastAsia" w:ascii="仿宋" w:hAnsi="仿宋" w:eastAsia="仿宋"/>
          <w:sz w:val="32"/>
          <w:szCs w:val="32"/>
        </w:rPr>
        <w:t>款</w:t>
      </w:r>
      <w:r>
        <w:rPr>
          <w:rFonts w:hint="eastAsia" w:ascii="仿宋" w:hAnsi="仿宋" w:eastAsia="仿宋"/>
          <w:sz w:val="32"/>
          <w:szCs w:val="32"/>
          <w:lang w:eastAsia="zh-CN"/>
        </w:rPr>
        <w:t>减少</w:t>
      </w:r>
      <w:r>
        <w:rPr>
          <w:rFonts w:hint="eastAsia" w:ascii="仿宋" w:hAnsi="仿宋" w:eastAsia="仿宋"/>
          <w:sz w:val="32"/>
          <w:szCs w:val="32"/>
          <w:lang w:val="en-US" w:eastAsia="zh-CN"/>
        </w:rPr>
        <w:t>908.99</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45.1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老旧小区改造项目减少</w:t>
      </w:r>
      <w:r>
        <w:rPr>
          <w:rFonts w:hint="eastAsia" w:ascii="仿宋" w:hAnsi="仿宋" w:eastAsia="仿宋"/>
          <w:sz w:val="32"/>
          <w:szCs w:val="32"/>
        </w:rPr>
        <w:t>。</w:t>
      </w:r>
    </w:p>
    <w:p>
      <w:pPr>
        <w:pStyle w:val="7"/>
        <w:pageBreakBefore w:val="0"/>
        <w:kinsoku/>
        <w:wordWrap/>
        <w:overflowPunct/>
        <w:topLinePunct w:val="0"/>
        <w:bidi w:val="0"/>
        <w:spacing w:line="576" w:lineRule="exact"/>
        <w:jc w:val="center"/>
        <w:textAlignment w:val="auto"/>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b/>
          <w:bCs/>
          <w:color w:val="auto"/>
          <w:sz w:val="32"/>
          <w:szCs w:val="32"/>
          <w:highlight w:val="none"/>
          <w:lang w:val="en-US" w:eastAsia="zh-CN"/>
        </w:rPr>
        <w:t xml:space="preserve"> （图5：一般公共预算财政拨款支出决算变动情况）</w:t>
      </w: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356870</wp:posOffset>
            </wp:positionH>
            <wp:positionV relativeFrom="page">
              <wp:posOffset>3376295</wp:posOffset>
            </wp:positionV>
            <wp:extent cx="5039360" cy="3411855"/>
            <wp:effectExtent l="4445" t="4445" r="23495" b="1270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35" w:name="_Toc15377211"/>
    </w:p>
    <w:p>
      <w:pPr>
        <w:pStyle w:val="6"/>
        <w:ind w:firstLine="642"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1106.48</w:t>
      </w:r>
      <w:r>
        <w:rPr>
          <w:rFonts w:hint="eastAsia" w:ascii="仿宋" w:hAnsi="仿宋" w:eastAsia="仿宋"/>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sz w:val="32"/>
          <w:szCs w:val="32"/>
        </w:rPr>
        <w:t>主要用于以下方面:一般公共服务支出</w:t>
      </w:r>
      <w:r>
        <w:rPr>
          <w:rFonts w:hint="eastAsia" w:ascii="仿宋_GB2312" w:hAnsi="仿宋_GB2312" w:eastAsia="仿宋_GB2312" w:cs="仿宋_GB2312"/>
          <w:color w:val="000000"/>
          <w:sz w:val="32"/>
          <w:szCs w:val="32"/>
          <w:lang w:val="en-US" w:eastAsia="zh-CN"/>
        </w:rPr>
        <w:t>425.94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38.5</w:t>
      </w:r>
      <w:r>
        <w:rPr>
          <w:rFonts w:hint="eastAsia" w:ascii="仿宋_GB2312" w:hAnsi="仿宋_GB2312" w:eastAsia="仿宋_GB2312" w:cs="仿宋_GB2312"/>
          <w:color w:val="000000"/>
          <w:sz w:val="32"/>
          <w:szCs w:val="32"/>
        </w:rPr>
        <w:t>%；公共安全支出</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1.54</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48.34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4.37</w:t>
      </w:r>
      <w:r>
        <w:rPr>
          <w:rFonts w:hint="eastAsia" w:ascii="仿宋_GB2312" w:hAnsi="仿宋_GB2312" w:eastAsia="仿宋_GB2312" w:cs="仿宋_GB2312"/>
          <w:color w:val="000000"/>
          <w:sz w:val="32"/>
          <w:szCs w:val="32"/>
        </w:rPr>
        <w:t>%；卫生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17.25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1.56</w:t>
      </w:r>
      <w:r>
        <w:rPr>
          <w:rFonts w:hint="eastAsia" w:ascii="仿宋_GB2312" w:hAnsi="仿宋_GB2312" w:eastAsia="仿宋_GB2312" w:cs="仿宋_GB2312"/>
          <w:color w:val="000000"/>
          <w:sz w:val="32"/>
          <w:szCs w:val="32"/>
        </w:rPr>
        <w:t>%；城乡社区支出</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万元，占0.</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%；农林水支出</w:t>
      </w:r>
      <w:r>
        <w:rPr>
          <w:rFonts w:hint="eastAsia" w:ascii="仿宋_GB2312" w:hAnsi="仿宋_GB2312" w:eastAsia="仿宋_GB2312" w:cs="仿宋_GB2312"/>
          <w:color w:val="000000"/>
          <w:sz w:val="32"/>
          <w:szCs w:val="32"/>
          <w:lang w:val="en-US" w:eastAsia="zh-CN"/>
        </w:rPr>
        <w:t>543.17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49.1</w:t>
      </w:r>
      <w:r>
        <w:rPr>
          <w:rFonts w:hint="eastAsia" w:ascii="仿宋_GB2312" w:hAnsi="仿宋_GB2312" w:eastAsia="仿宋_GB2312" w:cs="仿宋_GB2312"/>
          <w:color w:val="000000"/>
          <w:sz w:val="32"/>
          <w:szCs w:val="32"/>
        </w:rPr>
        <w:t>%；交通运输支出</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0.99</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val="en-US" w:eastAsia="zh-CN"/>
        </w:rPr>
        <w:t>33.78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%；灾害防治及应急管理支出</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0.36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w:t>
      </w:r>
    </w:p>
    <w:p>
      <w:pPr>
        <w:pageBreakBefore w:val="0"/>
        <w:kinsoku/>
        <w:wordWrap/>
        <w:overflowPunct/>
        <w:topLinePunct w:val="0"/>
        <w:bidi w:val="0"/>
        <w:spacing w:line="576" w:lineRule="exact"/>
        <w:jc w:val="center"/>
        <w:textAlignment w:val="auto"/>
        <w:rPr>
          <w:rFonts w:hint="eastAsia" w:ascii="仿宋" w:hAnsi="仿宋" w:eastAsia="仿宋"/>
          <w:b/>
          <w:color w:val="000000"/>
          <w:sz w:val="32"/>
          <w:szCs w:val="32"/>
        </w:rPr>
      </w:pPr>
      <w:bookmarkStart w:id="36" w:name="_Toc15377212"/>
    </w:p>
    <w:p>
      <w:pPr>
        <w:spacing w:line="600" w:lineRule="exact"/>
        <w:ind w:firstLine="960" w:firstLineChars="300"/>
        <w:outlineLvl w:val="2"/>
        <w:rPr>
          <w:rFonts w:hint="eastAsia" w:ascii="仿宋" w:hAnsi="仿宋" w:eastAsia="仿宋"/>
          <w:b/>
          <w:color w:val="000000"/>
          <w:sz w:val="32"/>
          <w:szCs w:val="32"/>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52070</wp:posOffset>
            </wp:positionH>
            <wp:positionV relativeFrom="paragraph">
              <wp:posOffset>6985</wp:posOffset>
            </wp:positionV>
            <wp:extent cx="5543550" cy="4056380"/>
            <wp:effectExtent l="4445" t="4445" r="14605" b="1587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b/>
          <w:color w:val="auto"/>
          <w:sz w:val="32"/>
          <w:szCs w:val="32"/>
          <w:highlight w:val="none"/>
          <w:lang w:val="en-US" w:eastAsia="zh-CN"/>
        </w:rPr>
        <w:t>(图六</w:t>
      </w:r>
      <w:r>
        <w:rPr>
          <w:rFonts w:hint="eastAsia" w:ascii="黑体" w:hAnsi="黑体" w:eastAsia="黑体" w:cs="黑体"/>
          <w:color w:val="000000" w:themeColor="text1"/>
          <w:sz w:val="32"/>
          <w:szCs w:val="32"/>
          <w:highlight w:val="none"/>
          <w14:textFill>
            <w14:solidFill>
              <w14:schemeClr w14:val="tx1"/>
            </w14:solidFill>
          </w14:textFill>
        </w:rPr>
        <w:t>一般公共预算财政拨款支出决算结构</w:t>
      </w:r>
      <w:r>
        <w:rPr>
          <w:rFonts w:hint="eastAsia" w:ascii="仿宋" w:hAnsi="仿宋" w:eastAsia="仿宋"/>
          <w:b/>
          <w:color w:val="auto"/>
          <w:sz w:val="32"/>
          <w:szCs w:val="32"/>
          <w:highlight w:val="none"/>
          <w:lang w:val="en-US" w:eastAsia="zh-CN"/>
        </w:rPr>
        <w:t>)</w: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Style w:val="19"/>
          <w:rFonts w:ascii="仿宋" w:hAnsi="仿宋" w:eastAsia="仿宋"/>
          <w:bCs/>
          <w:color w:val="00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14:textFill>
            <w14:solidFill>
              <w14:schemeClr w14:val="tx1"/>
            </w14:solidFill>
          </w14:textFill>
        </w:rPr>
        <w:t>202</w:t>
      </w:r>
      <w:r>
        <w:rPr>
          <w:rFonts w:hint="eastAsia" w:ascii="仿宋" w:hAnsi="仿宋" w:eastAsia="仿宋"/>
          <w:b/>
          <w:color w:val="000000" w:themeColor="text1"/>
          <w:sz w:val="32"/>
          <w:szCs w:val="32"/>
          <w:lang w:val="en-US" w:eastAsia="zh-CN"/>
          <w14:textFill>
            <w14:solidFill>
              <w14:schemeClr w14:val="tx1"/>
            </w14:solidFill>
          </w14:textFill>
        </w:rPr>
        <w:t>2</w:t>
      </w:r>
      <w:r>
        <w:rPr>
          <w:rFonts w:hint="eastAsia" w:ascii="仿宋" w:hAnsi="仿宋" w:eastAsia="仿宋"/>
          <w:b/>
          <w:color w:val="000000" w:themeColor="text1"/>
          <w:sz w:val="32"/>
          <w:szCs w:val="32"/>
          <w14:textFill>
            <w14:solidFill>
              <w14:schemeClr w14:val="tx1"/>
            </w14:solidFill>
          </w14:textFill>
        </w:rPr>
        <w:t>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1106.48万元</w:t>
      </w:r>
      <w:r>
        <w:rPr>
          <w:rFonts w:hint="eastAsia" w:ascii="仿宋" w:hAnsi="仿宋" w:eastAsia="仿宋"/>
          <w:color w:val="000000" w:themeColor="text1"/>
          <w:sz w:val="32"/>
          <w:szCs w:val="32"/>
          <w14:textFill>
            <w14:solidFill>
              <w14:schemeClr w14:val="tx1"/>
            </w14:solidFill>
          </w14:textFill>
        </w:rPr>
        <w:t>，</w:t>
      </w:r>
      <w:r>
        <w:rPr>
          <w:rStyle w:val="19"/>
          <w:rFonts w:hint="eastAsia" w:ascii="仿宋" w:hAnsi="仿宋" w:eastAsia="仿宋"/>
          <w:bCs/>
          <w:color w:val="000000" w:themeColor="text1"/>
          <w:sz w:val="32"/>
          <w:szCs w:val="32"/>
          <w14:textFill>
            <w14:solidFill>
              <w14:schemeClr w14:val="tx1"/>
            </w14:solidFill>
          </w14:textFill>
        </w:rPr>
        <w:t>完成</w:t>
      </w:r>
      <w:r>
        <w:rPr>
          <w:rStyle w:val="19"/>
          <w:rFonts w:hint="eastAsia" w:ascii="仿宋" w:hAnsi="仿宋" w:eastAsia="仿宋"/>
          <w:bCs/>
          <w:color w:val="000000"/>
          <w:sz w:val="32"/>
          <w:szCs w:val="32"/>
        </w:rPr>
        <w:t>预算100</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。其中：</w:t>
      </w:r>
      <w:bookmarkEnd w:id="37"/>
      <w:bookmarkEnd w:id="38"/>
      <w:bookmarkEnd w:id="39"/>
    </w:p>
    <w:p>
      <w:pPr>
        <w:spacing w:line="600" w:lineRule="exact"/>
        <w:ind w:firstLine="640" w:firstLineChars="200"/>
        <w:outlineLvl w:val="2"/>
        <w:rPr>
          <w:rStyle w:val="19"/>
          <w:rFonts w:ascii="仿宋" w:hAnsi="仿宋" w:eastAsia="仿宋"/>
          <w:b w:val="0"/>
          <w:bCs w:val="0"/>
          <w:color w:val="000000"/>
          <w:sz w:val="32"/>
          <w:szCs w:val="32"/>
        </w:rPr>
      </w:pPr>
      <w:r>
        <w:rPr>
          <w:rFonts w:hint="eastAsia" w:ascii="楷体_GB2312" w:hAnsi="楷体_GB2312" w:eastAsia="楷体_GB2312" w:cs="楷体_GB2312"/>
          <w:b w:val="0"/>
          <w:bCs w:val="0"/>
          <w:color w:val="000000"/>
          <w:sz w:val="32"/>
          <w:szCs w:val="32"/>
        </w:rPr>
        <w:t>（一）</w:t>
      </w:r>
      <w:r>
        <w:rPr>
          <w:rFonts w:hint="eastAsia" w:ascii="仿宋_GB2312" w:hAnsi="仿宋_GB2312" w:eastAsia="仿宋_GB2312" w:cs="仿宋_GB2312"/>
          <w:b w:val="0"/>
          <w:bCs w:val="0"/>
          <w:kern w:val="0"/>
          <w:sz w:val="32"/>
          <w:szCs w:val="32"/>
        </w:rPr>
        <w:t>一般公共服务支出</w:t>
      </w:r>
      <w:r>
        <w:rPr>
          <w:rFonts w:hint="eastAsia" w:ascii="楷体_GB2312" w:hAnsi="楷体_GB2312" w:eastAsia="楷体_GB2312" w:cs="楷体_GB2312"/>
          <w:b w:val="0"/>
          <w:bCs w:val="0"/>
          <w:color w:val="000000"/>
          <w:sz w:val="32"/>
          <w:szCs w:val="32"/>
        </w:rPr>
        <w:t>（类）201，支出决算为</w:t>
      </w:r>
      <w:r>
        <w:rPr>
          <w:rFonts w:hint="eastAsia" w:ascii="楷体_GB2312" w:hAnsi="楷体_GB2312" w:eastAsia="楷体_GB2312" w:cs="楷体_GB2312"/>
          <w:b w:val="0"/>
          <w:bCs w:val="0"/>
          <w:color w:val="000000"/>
          <w:sz w:val="32"/>
          <w:szCs w:val="32"/>
          <w:lang w:val="en-US" w:eastAsia="zh-CN"/>
        </w:rPr>
        <w:t>425.94</w:t>
      </w:r>
      <w:r>
        <w:rPr>
          <w:rFonts w:hint="eastAsia" w:ascii="楷体_GB2312" w:hAnsi="楷体_GB2312" w:eastAsia="楷体_GB2312" w:cs="楷体_GB2312"/>
          <w:b w:val="0"/>
          <w:bCs w:val="0"/>
          <w:color w:val="000000"/>
          <w:sz w:val="32"/>
          <w:szCs w:val="32"/>
        </w:rPr>
        <w:t>万元，完成预算</w:t>
      </w:r>
      <w:r>
        <w:rPr>
          <w:rStyle w:val="19"/>
          <w:rFonts w:hint="eastAsia" w:ascii="仿宋_GB2312" w:eastAsia="仿宋_GB2312"/>
          <w:b w:val="0"/>
          <w:bCs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Style w:val="26"/>
          <w:rFonts w:hint="eastAsia"/>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一般公共服务支出（类）201政府办公厅（室）及相关机构事务（款）03行政运行（项）01:支出决算为</w:t>
      </w:r>
      <w:r>
        <w:rPr>
          <w:rStyle w:val="19"/>
          <w:rFonts w:hint="eastAsia" w:ascii="仿宋_GB2312" w:eastAsia="仿宋_GB2312"/>
          <w:b w:val="0"/>
          <w:color w:val="000000"/>
          <w:sz w:val="32"/>
          <w:szCs w:val="32"/>
          <w:lang w:val="en-US" w:eastAsia="zh-CN"/>
        </w:rPr>
        <w:t>331.52</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hAnsi="仿宋_GB2312" w:eastAsia="仿宋_GB2312" w:cs="仿宋_GB2312"/>
          <w:kern w:val="0"/>
          <w:sz w:val="32"/>
          <w:szCs w:val="32"/>
        </w:rPr>
        <w:t>一般公共服务支出</w:t>
      </w:r>
      <w:r>
        <w:rPr>
          <w:rStyle w:val="19"/>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9"/>
          <w:rFonts w:hint="eastAsia" w:ascii="仿宋_GB2312" w:eastAsia="仿宋_GB2312"/>
          <w:b w:val="0"/>
          <w:color w:val="000000"/>
          <w:sz w:val="32"/>
          <w:szCs w:val="32"/>
        </w:rPr>
        <w:t>03（项）02一般行政管理事务：支出决算为</w:t>
      </w:r>
      <w:r>
        <w:rPr>
          <w:rStyle w:val="19"/>
          <w:rFonts w:hint="eastAsia" w:ascii="仿宋_GB2312" w:eastAsia="仿宋_GB2312"/>
          <w:b w:val="0"/>
          <w:color w:val="000000"/>
          <w:sz w:val="32"/>
          <w:szCs w:val="32"/>
          <w:lang w:val="en-US" w:eastAsia="zh-CN"/>
        </w:rPr>
        <w:t>7.26</w:t>
      </w:r>
      <w:r>
        <w:rPr>
          <w:rStyle w:val="19"/>
          <w:rFonts w:hint="eastAsia" w:ascii="仿宋_GB2312" w:eastAsia="仿宋_GB2312"/>
          <w:b w:val="0"/>
          <w:color w:val="000000"/>
          <w:sz w:val="32"/>
          <w:szCs w:val="32"/>
        </w:rPr>
        <w:t>万元，完成预算100%。</w:t>
      </w:r>
    </w:p>
    <w:p>
      <w:pPr>
        <w:pStyle w:val="16"/>
        <w:ind w:left="0" w:leftChars="0" w:firstLine="640" w:firstLineChars="200"/>
      </w:pP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一般公共服务支出</w:t>
      </w:r>
      <w:r>
        <w:rPr>
          <w:rStyle w:val="19"/>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9"/>
          <w:rFonts w:hint="eastAsia" w:ascii="仿宋_GB2312" w:eastAsia="仿宋_GB2312"/>
          <w:b w:val="0"/>
          <w:color w:val="000000"/>
          <w:sz w:val="32"/>
          <w:szCs w:val="32"/>
        </w:rPr>
        <w:t>03（项）0</w:t>
      </w: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lang w:eastAsia="zh-CN"/>
        </w:rPr>
        <w:t>机关服务</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12.24</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4</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一般公共服务支出</w:t>
      </w:r>
      <w:r>
        <w:rPr>
          <w:rStyle w:val="19"/>
          <w:rFonts w:hint="eastAsia" w:ascii="仿宋_GB2312" w:eastAsia="仿宋_GB2312"/>
          <w:b w:val="0"/>
          <w:color w:val="000000"/>
          <w:sz w:val="32"/>
          <w:szCs w:val="32"/>
        </w:rPr>
        <w:t>（类）201（款）</w:t>
      </w:r>
      <w:r>
        <w:rPr>
          <w:rFonts w:hint="eastAsia" w:ascii="仿宋_GB2312" w:hAnsi="仿宋_GB2312" w:eastAsia="仿宋_GB2312" w:cs="仿宋_GB2312"/>
          <w:kern w:val="0"/>
          <w:sz w:val="32"/>
          <w:szCs w:val="32"/>
        </w:rPr>
        <w:t>政府办公厅（室）及相关机构事务（款）</w:t>
      </w:r>
      <w:r>
        <w:rPr>
          <w:rStyle w:val="19"/>
          <w:rFonts w:hint="eastAsia" w:ascii="仿宋_GB2312" w:eastAsia="仿宋_GB2312"/>
          <w:b w:val="0"/>
          <w:color w:val="000000"/>
          <w:sz w:val="32"/>
          <w:szCs w:val="32"/>
        </w:rPr>
        <w:t>03（项）专项业务活动05：支出决算为1万元，完成预算100%。</w:t>
      </w:r>
    </w:p>
    <w:p>
      <w:pPr>
        <w:pStyle w:val="6"/>
        <w:rPr>
          <w:rFonts w:hint="default" w:eastAsia="仿宋_GB2312"/>
          <w:lang w:val="en-US" w:eastAsia="zh-CN"/>
        </w:rPr>
      </w:pPr>
      <w:r>
        <w:rPr>
          <w:rStyle w:val="19"/>
          <w:rFonts w:hint="eastAsia"/>
          <w:b w:val="0"/>
          <w:color w:val="000000"/>
          <w:sz w:val="32"/>
          <w:szCs w:val="32"/>
          <w:lang w:val="en-US" w:eastAsia="zh-CN"/>
        </w:rPr>
        <w:t xml:space="preserve">    5、一般公共服务支出（类）201党委办公厅（室）及相关机构事务（款）31其他党委办公厅（室）及相关机构事务99（项）：支出决算为15万元，完成预算100%。</w:t>
      </w:r>
    </w:p>
    <w:p>
      <w:pPr>
        <w:spacing w:line="560" w:lineRule="exact"/>
        <w:ind w:firstLine="640"/>
        <w:rPr>
          <w:rStyle w:val="19"/>
          <w:rFonts w:ascii="仿宋_GB2312" w:eastAsia="仿宋_GB2312"/>
          <w:b w:val="0"/>
          <w:color w:val="00000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、一般公共服务（类）201市场监督管理事务</w:t>
      </w:r>
      <w:r>
        <w:rPr>
          <w:rFonts w:hint="eastAsia" w:ascii="仿宋_GB2312" w:eastAsia="仿宋_GB2312"/>
          <w:color w:val="000000"/>
          <w:sz w:val="32"/>
          <w:szCs w:val="32"/>
        </w:rPr>
        <w:t>（款）38</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市场监督管理事务（项）</w:t>
      </w:r>
      <w:r>
        <w:rPr>
          <w:rFonts w:hint="eastAsia" w:ascii="仿宋_GB2312" w:eastAsia="仿宋_GB2312"/>
          <w:color w:val="000000"/>
          <w:sz w:val="32"/>
          <w:szCs w:val="32"/>
          <w:lang w:val="en-US" w:eastAsia="zh-CN"/>
        </w:rPr>
        <w:t>99</w:t>
      </w:r>
      <w:r>
        <w:rPr>
          <w:rStyle w:val="19"/>
          <w:rFonts w:hint="eastAsia" w:ascii="仿宋_GB2312" w:eastAsia="仿宋_GB2312"/>
          <w:b w:val="0"/>
          <w:color w:val="000000"/>
          <w:sz w:val="32"/>
          <w:szCs w:val="32"/>
        </w:rPr>
        <w:t>：支出决算为2.5万元，完成预算100%。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7</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54.42</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8</w:t>
      </w:r>
      <w:r>
        <w:rPr>
          <w:rStyle w:val="19"/>
          <w:rFonts w:hint="eastAsia" w:ascii="仿宋_GB2312" w:eastAsia="仿宋_GB2312"/>
          <w:b w:val="0"/>
          <w:color w:val="000000"/>
          <w:sz w:val="32"/>
          <w:szCs w:val="32"/>
        </w:rPr>
        <w:t>、</w:t>
      </w:r>
      <w:r>
        <w:rPr>
          <w:rFonts w:hint="eastAsia" w:ascii="仿宋_GB2312" w:hAnsi="仿宋_GB2312" w:eastAsia="仿宋_GB2312" w:cs="仿宋_GB2312"/>
          <w:kern w:val="0"/>
          <w:sz w:val="32"/>
          <w:szCs w:val="32"/>
        </w:rPr>
        <w:t>一般公共服务（类）201</w:t>
      </w:r>
      <w:r>
        <w:rPr>
          <w:rFonts w:hint="eastAsia" w:ascii="仿宋_GB2312" w:hAnsi="仿宋_GB2312" w:eastAsia="仿宋_GB2312" w:cs="仿宋_GB2312"/>
          <w:kern w:val="0"/>
          <w:sz w:val="32"/>
          <w:szCs w:val="32"/>
          <w:lang w:eastAsia="zh-CN"/>
        </w:rPr>
        <w:t>纪检监察事务（款）</w:t>
      </w:r>
      <w:r>
        <w:rPr>
          <w:rFonts w:hint="eastAsia" w:ascii="仿宋_GB2312" w:hAnsi="仿宋_GB2312" w:eastAsia="仿宋_GB2312" w:cs="仿宋_GB2312"/>
          <w:kern w:val="0"/>
          <w:sz w:val="32"/>
          <w:szCs w:val="32"/>
          <w:lang w:val="en-US" w:eastAsia="zh-CN"/>
        </w:rPr>
        <w:t>11一般行政事务管理</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02</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w:t>
      </w:r>
      <w:r>
        <w:rPr>
          <w:rStyle w:val="19"/>
          <w:rFonts w:hint="eastAsia" w:ascii="仿宋_GB2312" w:eastAsia="仿宋_GB2312"/>
          <w:b w:val="0"/>
          <w:color w:val="000000"/>
          <w:sz w:val="32"/>
          <w:szCs w:val="32"/>
        </w:rPr>
        <w:t>万元，完成预算100%。</w:t>
      </w:r>
    </w:p>
    <w:p>
      <w:pPr>
        <w:pStyle w:val="16"/>
      </w:pPr>
    </w:p>
    <w:p>
      <w:pPr>
        <w:spacing w:line="560" w:lineRule="exact"/>
        <w:rPr>
          <w:rStyle w:val="19"/>
          <w:rFonts w:ascii="仿宋_GB2312" w:eastAsia="仿宋_GB2312"/>
          <w:b w:val="0"/>
          <w:color w:val="000000"/>
          <w:sz w:val="32"/>
          <w:szCs w:val="32"/>
        </w:rPr>
      </w:pPr>
      <w:r>
        <w:rPr>
          <w:rFonts w:hint="eastAsia" w:ascii="楷体_GB2312" w:hAnsi="楷体_GB2312" w:eastAsia="楷体_GB2312" w:cs="楷体_GB2312"/>
          <w:b w:val="0"/>
          <w:bCs w:val="0"/>
          <w:color w:val="000000"/>
          <w:sz w:val="32"/>
          <w:szCs w:val="32"/>
        </w:rPr>
        <w:t>（</w:t>
      </w:r>
      <w:r>
        <w:rPr>
          <w:rFonts w:hint="eastAsia" w:ascii="仿宋_GB2312" w:hAnsi="仿宋_GB2312" w:eastAsia="仿宋_GB2312" w:cs="仿宋_GB2312"/>
          <w:b w:val="0"/>
          <w:bCs w:val="0"/>
          <w:kern w:val="0"/>
          <w:sz w:val="32"/>
          <w:szCs w:val="32"/>
        </w:rPr>
        <w:t>二）公共安全支出（类）204，支出决算为</w:t>
      </w:r>
      <w:r>
        <w:rPr>
          <w:rFonts w:hint="eastAsia" w:ascii="仿宋_GB2312" w:hAnsi="仿宋_GB2312" w:eastAsia="仿宋_GB2312" w:cs="仿宋_GB2312"/>
          <w:b w:val="0"/>
          <w:bCs w:val="0"/>
          <w:kern w:val="0"/>
          <w:sz w:val="32"/>
          <w:szCs w:val="32"/>
          <w:lang w:val="en-US" w:eastAsia="zh-CN"/>
        </w:rPr>
        <w:t>17</w:t>
      </w:r>
      <w:r>
        <w:rPr>
          <w:rFonts w:hint="eastAsia" w:ascii="仿宋_GB2312" w:hAnsi="仿宋_GB2312" w:eastAsia="仿宋_GB2312" w:cs="仿宋_GB2312"/>
          <w:b w:val="0"/>
          <w:bCs w:val="0"/>
          <w:kern w:val="0"/>
          <w:sz w:val="32"/>
          <w:szCs w:val="32"/>
        </w:rPr>
        <w:t>万元，完成预算100%，其中：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lang w:val="en-US" w:eastAsia="zh-CN"/>
        </w:rPr>
        <w:t>1</w:t>
      </w:r>
      <w:r>
        <w:rPr>
          <w:rStyle w:val="19"/>
          <w:rFonts w:hint="eastAsia" w:ascii="仿宋_GB2312" w:eastAsia="仿宋_GB2312"/>
          <w:b w:val="0"/>
          <w:color w:val="000000"/>
          <w:sz w:val="32"/>
          <w:szCs w:val="32"/>
        </w:rPr>
        <w:t>、</w:t>
      </w:r>
      <w:r>
        <w:rPr>
          <w:rFonts w:hint="eastAsia" w:ascii="仿宋_GB2312" w:eastAsia="仿宋_GB2312"/>
          <w:color w:val="000000"/>
          <w:sz w:val="32"/>
          <w:szCs w:val="32"/>
        </w:rPr>
        <w:t>公共安全支出（类）204国家安全（款）03其他国家安全支出（项）99</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17</w:t>
      </w:r>
      <w:r>
        <w:rPr>
          <w:rStyle w:val="19"/>
          <w:rFonts w:hint="eastAsia" w:ascii="仿宋_GB2312" w:eastAsia="仿宋_GB2312"/>
          <w:b w:val="0"/>
          <w:color w:val="000000"/>
          <w:sz w:val="32"/>
          <w:szCs w:val="32"/>
        </w:rPr>
        <w:t>万元，完成预算100%。</w:t>
      </w:r>
    </w:p>
    <w:p>
      <w:pPr>
        <w:spacing w:line="560" w:lineRule="exact"/>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（三）社会保障和就业支出（类）208，支出决算为</w:t>
      </w:r>
      <w:r>
        <w:rPr>
          <w:rFonts w:hint="eastAsia" w:ascii="楷体_GB2312" w:hAnsi="楷体_GB2312" w:eastAsia="楷体_GB2312" w:cs="楷体_GB2312"/>
          <w:color w:val="000000"/>
          <w:sz w:val="32"/>
          <w:szCs w:val="32"/>
          <w:lang w:val="en-US" w:eastAsia="zh-CN"/>
        </w:rPr>
        <w:t>48.34</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社会保障和就业支出（类）208行政事业单位离退休（款）05机关事业单位基本养老保险缴费支出（项）05</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34.51</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社会保障和就业支出（类）208行政事业单位离退休（款）05机关事业单位职业年金缴费支出（项）06</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10.53</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3、</w:t>
      </w:r>
      <w:r>
        <w:rPr>
          <w:rFonts w:hint="eastAsia" w:ascii="仿宋_GB2312" w:eastAsia="仿宋_GB2312"/>
          <w:color w:val="000000"/>
          <w:sz w:val="32"/>
          <w:szCs w:val="32"/>
        </w:rPr>
        <w:t>社会保障和就业支出（类）208行政事业单位离退休（款）05行政单位离退休（项）01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3.3</w:t>
      </w:r>
      <w:r>
        <w:rPr>
          <w:rStyle w:val="19"/>
          <w:rFonts w:hint="eastAsia" w:ascii="仿宋_GB2312" w:eastAsia="仿宋_GB2312"/>
          <w:b w:val="0"/>
          <w:color w:val="000000"/>
          <w:sz w:val="32"/>
          <w:szCs w:val="32"/>
        </w:rPr>
        <w:t>万元，完成预算100%。</w:t>
      </w:r>
    </w:p>
    <w:p>
      <w:pPr>
        <w:spacing w:line="560" w:lineRule="exact"/>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（四）卫生健康支出（类）210，支出决算为</w:t>
      </w:r>
      <w:r>
        <w:rPr>
          <w:rFonts w:hint="eastAsia" w:ascii="楷体_GB2312" w:hAnsi="楷体_GB2312" w:eastAsia="楷体_GB2312" w:cs="楷体_GB2312"/>
          <w:color w:val="000000"/>
          <w:sz w:val="32"/>
          <w:szCs w:val="32"/>
          <w:lang w:val="en-US" w:eastAsia="zh-CN"/>
        </w:rPr>
        <w:t>17.25</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楷体_GB2312" w:hAnsi="楷体_GB2312" w:eastAsia="楷体_GB2312" w:cs="楷体_GB2312"/>
          <w:color w:val="000000"/>
          <w:sz w:val="32"/>
          <w:szCs w:val="32"/>
        </w:rPr>
        <w:t>卫生健康支出</w:t>
      </w:r>
      <w:r>
        <w:rPr>
          <w:rFonts w:hint="eastAsia" w:ascii="仿宋_GB2312" w:eastAsia="仿宋_GB2312"/>
          <w:color w:val="000000"/>
          <w:sz w:val="32"/>
          <w:szCs w:val="32"/>
        </w:rPr>
        <w:t>（类）210行政事业单位医疗11（款）行政单位医疗（项）01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17.25</w:t>
      </w:r>
      <w:r>
        <w:rPr>
          <w:rStyle w:val="19"/>
          <w:rFonts w:hint="eastAsia" w:ascii="仿宋_GB2312" w:eastAsia="仿宋_GB2312"/>
          <w:b w:val="0"/>
          <w:color w:val="000000"/>
          <w:sz w:val="32"/>
          <w:szCs w:val="32"/>
        </w:rPr>
        <w:t>元，完成预算100%。</w:t>
      </w:r>
    </w:p>
    <w:p>
      <w:pPr>
        <w:spacing w:line="560" w:lineRule="exact"/>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（五）城乡社区支出（类）212，支出决算为</w:t>
      </w:r>
      <w:r>
        <w:rPr>
          <w:rFonts w:hint="eastAsia" w:ascii="楷体_GB2312" w:hAnsi="楷体_GB2312" w:eastAsia="楷体_GB2312" w:cs="楷体_GB2312"/>
          <w:color w:val="000000"/>
          <w:sz w:val="32"/>
          <w:szCs w:val="32"/>
          <w:lang w:val="en-US" w:eastAsia="zh-CN"/>
        </w:rPr>
        <w:t>6</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城乡社区支出（类）212城乡社区管理事务（款）01城管执法（项）04</w:t>
      </w:r>
      <w:r>
        <w:rPr>
          <w:rStyle w:val="19"/>
          <w:rFonts w:hint="eastAsia" w:ascii="仿宋_GB2312" w:eastAsia="仿宋_GB2312"/>
          <w:b w:val="0"/>
          <w:color w:val="000000"/>
          <w:sz w:val="32"/>
          <w:szCs w:val="32"/>
        </w:rPr>
        <w:t>：支出决算为1万元，完成预算100%。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城乡社区支出（类）212城乡社区环境卫生（款）05城乡社区环境卫生（项）01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5</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（六）农林水支出（类）213，支出决算为</w:t>
      </w:r>
      <w:r>
        <w:rPr>
          <w:rFonts w:hint="eastAsia" w:ascii="楷体_GB2312" w:hAnsi="楷体_GB2312" w:eastAsia="楷体_GB2312" w:cs="楷体_GB2312"/>
          <w:color w:val="000000"/>
          <w:sz w:val="32"/>
          <w:szCs w:val="32"/>
          <w:lang w:val="en-US" w:eastAsia="zh-CN"/>
        </w:rPr>
        <w:t>543.17</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农林水支出（类）213农业（款）01病虫害控制（项）08</w:t>
      </w:r>
      <w:r>
        <w:rPr>
          <w:rStyle w:val="19"/>
          <w:rFonts w:hint="eastAsia" w:ascii="仿宋_GB2312" w:eastAsia="仿宋_GB2312"/>
          <w:b w:val="0"/>
          <w:color w:val="000000"/>
          <w:sz w:val="32"/>
          <w:szCs w:val="32"/>
        </w:rPr>
        <w:t>：支出决算为1万元，完成预算100%。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仿宋_GB2312" w:eastAsia="仿宋_GB2312"/>
          <w:color w:val="000000"/>
          <w:sz w:val="32"/>
          <w:szCs w:val="32"/>
        </w:rPr>
        <w:t>农林水支出（类）213林业（款）02林业防灾减灾（项）34</w:t>
      </w:r>
      <w:r>
        <w:rPr>
          <w:rStyle w:val="19"/>
          <w:rFonts w:hint="eastAsia" w:ascii="仿宋_GB2312" w:eastAsia="仿宋_GB2312"/>
          <w:b w:val="0"/>
          <w:color w:val="000000"/>
          <w:sz w:val="32"/>
          <w:szCs w:val="32"/>
        </w:rPr>
        <w:t>：支出决算为2万元，完成预算100%。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3、</w:t>
      </w:r>
      <w:r>
        <w:rPr>
          <w:rFonts w:hint="eastAsia" w:ascii="仿宋_GB2312" w:eastAsia="仿宋_GB2312"/>
          <w:color w:val="000000"/>
          <w:sz w:val="32"/>
          <w:szCs w:val="32"/>
        </w:rPr>
        <w:t>农林水支出（类）213水利（款）03防汛（项）14</w:t>
      </w:r>
      <w:r>
        <w:rPr>
          <w:rStyle w:val="19"/>
          <w:rFonts w:hint="eastAsia" w:ascii="仿宋_GB2312" w:eastAsia="仿宋_GB2312"/>
          <w:b w:val="0"/>
          <w:color w:val="000000"/>
          <w:sz w:val="32"/>
          <w:szCs w:val="32"/>
        </w:rPr>
        <w:t>：支出决算为1万元，完成预算100%。</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4、</w:t>
      </w:r>
      <w:r>
        <w:rPr>
          <w:rFonts w:hint="eastAsia" w:ascii="仿宋_GB2312" w:eastAsia="仿宋_GB2312"/>
          <w:color w:val="000000"/>
          <w:sz w:val="32"/>
          <w:szCs w:val="32"/>
        </w:rPr>
        <w:t>农林水支出（类）213农村综合改革（款）07对村民委员会和村党支部的补助（项）05</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539.17</w:t>
      </w:r>
      <w:r>
        <w:rPr>
          <w:rStyle w:val="19"/>
          <w:rFonts w:hint="eastAsia" w:ascii="仿宋_GB2312" w:eastAsia="仿宋_GB2312"/>
          <w:b w:val="0"/>
          <w:color w:val="000000"/>
          <w:sz w:val="32"/>
          <w:szCs w:val="32"/>
        </w:rPr>
        <w:t>万元，完成预算100%。</w:t>
      </w:r>
    </w:p>
    <w:p>
      <w:pPr>
        <w:spacing w:line="560" w:lineRule="exact"/>
        <w:ind w:firstLine="320" w:firstLineChars="10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（七）交通运输支出（类）214，支出决算为</w:t>
      </w:r>
      <w:r>
        <w:rPr>
          <w:rFonts w:hint="eastAsia" w:ascii="楷体_GB2312" w:hAnsi="楷体_GB2312" w:eastAsia="楷体_GB2312" w:cs="楷体_GB2312"/>
          <w:color w:val="000000"/>
          <w:sz w:val="32"/>
          <w:szCs w:val="32"/>
          <w:lang w:val="en-US" w:eastAsia="zh-CN"/>
        </w:rPr>
        <w:t>11</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交通运输支出（类）214公路水路运输（款）01公路和运输安全（项）10</w:t>
      </w:r>
      <w:r>
        <w:rPr>
          <w:rStyle w:val="19"/>
          <w:rFonts w:hint="eastAsia" w:ascii="仿宋_GB2312" w:eastAsia="仿宋_GB2312"/>
          <w:b w:val="0"/>
          <w:color w:val="000000"/>
          <w:sz w:val="32"/>
          <w:szCs w:val="32"/>
        </w:rPr>
        <w:t>：支出决算为1</w:t>
      </w:r>
      <w:r>
        <w:rPr>
          <w:rStyle w:val="19"/>
          <w:rFonts w:hint="eastAsia" w:ascii="仿宋_GB2312" w:eastAsia="仿宋_GB2312"/>
          <w:b w:val="0"/>
          <w:color w:val="000000"/>
          <w:sz w:val="32"/>
          <w:szCs w:val="32"/>
          <w:lang w:val="en-US" w:eastAsia="zh-CN"/>
        </w:rPr>
        <w:t>1</w:t>
      </w:r>
      <w:r>
        <w:rPr>
          <w:rStyle w:val="19"/>
          <w:rFonts w:hint="eastAsia" w:ascii="仿宋_GB2312" w:eastAsia="仿宋_GB2312"/>
          <w:b w:val="0"/>
          <w:color w:val="000000"/>
          <w:sz w:val="32"/>
          <w:szCs w:val="32"/>
        </w:rPr>
        <w:t>万元，完成预算100%。</w:t>
      </w:r>
    </w:p>
    <w:p>
      <w:pPr>
        <w:spacing w:line="560" w:lineRule="exact"/>
        <w:ind w:firstLine="64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（八）灾害防治及应急管理支出（类）224，支出决算为</w:t>
      </w:r>
      <w:r>
        <w:rPr>
          <w:rFonts w:hint="eastAsia" w:ascii="楷体_GB2312" w:hAnsi="楷体_GB2312" w:eastAsia="楷体_GB2312" w:cs="楷体_GB2312"/>
          <w:color w:val="000000"/>
          <w:sz w:val="32"/>
          <w:szCs w:val="32"/>
          <w:lang w:val="en-US" w:eastAsia="zh-CN"/>
        </w:rPr>
        <w:t>4</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64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楷体_GB2312" w:hAnsi="楷体_GB2312" w:eastAsia="楷体_GB2312" w:cs="楷体_GB2312"/>
          <w:color w:val="000000"/>
          <w:sz w:val="32"/>
          <w:szCs w:val="32"/>
        </w:rPr>
        <w:t>灾害防治及应急管理支出（类）224应急管理事务</w:t>
      </w:r>
      <w:r>
        <w:rPr>
          <w:rStyle w:val="19"/>
          <w:rFonts w:hint="eastAsia" w:ascii="仿宋_GB2312" w:eastAsia="仿宋_GB2312"/>
          <w:b w:val="0"/>
          <w:color w:val="000000"/>
          <w:sz w:val="32"/>
          <w:szCs w:val="32"/>
        </w:rPr>
        <w:t>（款）01</w:t>
      </w:r>
      <w:r>
        <w:rPr>
          <w:rStyle w:val="19"/>
          <w:rFonts w:hint="eastAsia" w:ascii="仿宋_GB2312" w:eastAsia="仿宋_GB2312"/>
          <w:b w:val="0"/>
          <w:color w:val="000000"/>
          <w:sz w:val="32"/>
          <w:szCs w:val="32"/>
          <w:lang w:eastAsia="zh-CN"/>
        </w:rPr>
        <w:t>应急救援</w:t>
      </w:r>
      <w:r>
        <w:rPr>
          <w:rStyle w:val="19"/>
          <w:rFonts w:hint="eastAsia" w:ascii="仿宋_GB2312" w:eastAsia="仿宋_GB2312"/>
          <w:b w:val="0"/>
          <w:color w:val="000000"/>
          <w:sz w:val="32"/>
          <w:szCs w:val="32"/>
        </w:rPr>
        <w:t>（项）</w:t>
      </w:r>
      <w:r>
        <w:rPr>
          <w:rStyle w:val="19"/>
          <w:rFonts w:hint="eastAsia" w:ascii="仿宋_GB2312" w:eastAsia="仿宋_GB2312"/>
          <w:b w:val="0"/>
          <w:color w:val="000000"/>
          <w:sz w:val="32"/>
          <w:szCs w:val="32"/>
          <w:lang w:val="en-US" w:eastAsia="zh-CN"/>
        </w:rPr>
        <w:t>08</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w:t>
      </w:r>
      <w:r>
        <w:rPr>
          <w:rStyle w:val="19"/>
          <w:rFonts w:hint="eastAsia" w:ascii="仿宋_GB2312" w:eastAsia="仿宋_GB2312"/>
          <w:b w:val="0"/>
          <w:color w:val="000000"/>
          <w:sz w:val="32"/>
          <w:szCs w:val="32"/>
        </w:rPr>
        <w:t>万元，完成预算100%。</w:t>
      </w:r>
    </w:p>
    <w:p>
      <w:pPr>
        <w:spacing w:line="560" w:lineRule="exact"/>
        <w:ind w:firstLine="640"/>
        <w:rPr>
          <w:rStyle w:val="19"/>
          <w:rFonts w:hint="eastAsia" w:ascii="仿宋_GB2312" w:eastAsia="仿宋_GB2312"/>
          <w:b w:val="0"/>
          <w:color w:val="000000"/>
          <w:sz w:val="32"/>
          <w:szCs w:val="32"/>
        </w:rPr>
      </w:pPr>
      <w:r>
        <w:rPr>
          <w:rStyle w:val="19"/>
          <w:rFonts w:hint="eastAsia" w:ascii="仿宋_GB2312" w:eastAsia="仿宋_GB2312"/>
          <w:b w:val="0"/>
          <w:color w:val="000000"/>
          <w:sz w:val="32"/>
          <w:szCs w:val="32"/>
        </w:rPr>
        <w:t>2、</w:t>
      </w:r>
      <w:r>
        <w:rPr>
          <w:rFonts w:hint="eastAsia" w:ascii="楷体_GB2312" w:hAnsi="楷体_GB2312" w:eastAsia="楷体_GB2312" w:cs="楷体_GB2312"/>
          <w:color w:val="000000"/>
          <w:sz w:val="32"/>
          <w:szCs w:val="32"/>
        </w:rPr>
        <w:t>灾害防治及应急管理支出（类）224</w:t>
      </w:r>
      <w:r>
        <w:rPr>
          <w:rFonts w:hint="eastAsia" w:ascii="楷体_GB2312" w:hAnsi="楷体_GB2312" w:eastAsia="楷体_GB2312" w:cs="楷体_GB2312"/>
          <w:color w:val="000000"/>
          <w:sz w:val="32"/>
          <w:szCs w:val="32"/>
          <w:lang w:eastAsia="zh-CN"/>
        </w:rPr>
        <w:t>自然灾害救灾及恢复重建支出</w:t>
      </w:r>
      <w:r>
        <w:rPr>
          <w:rStyle w:val="19"/>
          <w:rFonts w:hint="eastAsia" w:ascii="仿宋_GB2312" w:eastAsia="仿宋_GB2312"/>
          <w:b w:val="0"/>
          <w:color w:val="000000"/>
          <w:sz w:val="32"/>
          <w:szCs w:val="32"/>
        </w:rPr>
        <w:t>（款）0</w:t>
      </w:r>
      <w:r>
        <w:rPr>
          <w:rStyle w:val="19"/>
          <w:rFonts w:hint="eastAsia" w:ascii="仿宋_GB2312" w:eastAsia="仿宋_GB2312"/>
          <w:b w:val="0"/>
          <w:color w:val="000000"/>
          <w:sz w:val="32"/>
          <w:szCs w:val="32"/>
          <w:lang w:val="en-US" w:eastAsia="zh-CN"/>
        </w:rPr>
        <w:t>7</w:t>
      </w:r>
      <w:r>
        <w:rPr>
          <w:rStyle w:val="19"/>
          <w:rFonts w:hint="eastAsia" w:ascii="仿宋_GB2312" w:eastAsia="仿宋_GB2312"/>
          <w:b w:val="0"/>
          <w:color w:val="000000"/>
          <w:sz w:val="32"/>
          <w:szCs w:val="32"/>
          <w:lang w:eastAsia="zh-CN"/>
        </w:rPr>
        <w:t>自然灾害救灾补助</w:t>
      </w:r>
      <w:r>
        <w:rPr>
          <w:rStyle w:val="19"/>
          <w:rFonts w:hint="eastAsia" w:ascii="仿宋_GB2312" w:eastAsia="仿宋_GB2312"/>
          <w:b w:val="0"/>
          <w:color w:val="000000"/>
          <w:sz w:val="32"/>
          <w:szCs w:val="32"/>
        </w:rPr>
        <w:t>（项）0</w:t>
      </w:r>
      <w:r>
        <w:rPr>
          <w:rStyle w:val="19"/>
          <w:rFonts w:hint="eastAsia" w:ascii="仿宋_GB2312" w:eastAsia="仿宋_GB2312"/>
          <w:b w:val="0"/>
          <w:color w:val="000000"/>
          <w:sz w:val="32"/>
          <w:szCs w:val="32"/>
          <w:lang w:val="en-US" w:eastAsia="zh-CN"/>
        </w:rPr>
        <w:t>3</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2</w:t>
      </w:r>
      <w:r>
        <w:rPr>
          <w:rStyle w:val="19"/>
          <w:rFonts w:hint="eastAsia" w:ascii="仿宋_GB2312" w:eastAsia="仿宋_GB2312"/>
          <w:b w:val="0"/>
          <w:color w:val="000000"/>
          <w:sz w:val="32"/>
          <w:szCs w:val="32"/>
        </w:rPr>
        <w:t>万元，完成预算100%。</w:t>
      </w:r>
    </w:p>
    <w:p>
      <w:pPr>
        <w:spacing w:line="560" w:lineRule="exact"/>
        <w:ind w:firstLine="320" w:firstLineChars="100"/>
        <w:rPr>
          <w:rStyle w:val="19"/>
          <w:rFonts w:ascii="仿宋_GB2312" w:eastAsia="仿宋_GB2312"/>
          <w:b w:val="0"/>
          <w:color w:val="000000"/>
          <w:sz w:val="32"/>
          <w:szCs w:val="32"/>
        </w:rPr>
      </w:pPr>
      <w:r>
        <w:rPr>
          <w:rFonts w:hint="eastAsia" w:ascii="楷体_GB2312" w:hAnsi="楷体_GB2312" w:eastAsia="楷体_GB2312" w:cs="楷体_GB2312"/>
          <w:color w:val="000000"/>
          <w:sz w:val="32"/>
          <w:szCs w:val="32"/>
        </w:rPr>
        <w:t>（九）住房保障支出（类）221，支出决算为</w:t>
      </w:r>
      <w:r>
        <w:rPr>
          <w:rFonts w:hint="eastAsia" w:ascii="楷体_GB2312" w:hAnsi="楷体_GB2312" w:eastAsia="楷体_GB2312" w:cs="楷体_GB2312"/>
          <w:color w:val="000000"/>
          <w:sz w:val="32"/>
          <w:szCs w:val="32"/>
          <w:lang w:val="en-US" w:eastAsia="zh-CN"/>
        </w:rPr>
        <w:t>33.78</w:t>
      </w:r>
      <w:r>
        <w:rPr>
          <w:rFonts w:hint="eastAsia" w:ascii="楷体_GB2312" w:hAnsi="楷体_GB2312" w:eastAsia="楷体_GB2312" w:cs="楷体_GB2312"/>
          <w:color w:val="000000"/>
          <w:sz w:val="32"/>
          <w:szCs w:val="32"/>
        </w:rPr>
        <w:t>万元，完成预算</w:t>
      </w:r>
      <w:r>
        <w:rPr>
          <w:rStyle w:val="19"/>
          <w:rFonts w:hint="eastAsia" w:ascii="仿宋_GB2312" w:eastAsia="仿宋_GB2312"/>
          <w:b w:val="0"/>
          <w:color w:val="000000"/>
          <w:sz w:val="32"/>
          <w:szCs w:val="32"/>
        </w:rPr>
        <w:t>100%，其中：</w:t>
      </w:r>
    </w:p>
    <w:p>
      <w:pPr>
        <w:spacing w:line="560" w:lineRule="exact"/>
        <w:ind w:firstLine="480" w:firstLineChars="150"/>
        <w:rPr>
          <w:rStyle w:val="19"/>
          <w:rFonts w:ascii="仿宋_GB2312" w:eastAsia="仿宋_GB2312"/>
          <w:b w:val="0"/>
          <w:color w:val="000000"/>
          <w:sz w:val="32"/>
          <w:szCs w:val="32"/>
        </w:rPr>
      </w:pPr>
      <w:r>
        <w:rPr>
          <w:rStyle w:val="19"/>
          <w:rFonts w:hint="eastAsia" w:ascii="仿宋_GB2312" w:eastAsia="仿宋_GB2312"/>
          <w:b w:val="0"/>
          <w:color w:val="000000"/>
          <w:sz w:val="32"/>
          <w:szCs w:val="32"/>
        </w:rPr>
        <w:t>1、</w:t>
      </w:r>
      <w:r>
        <w:rPr>
          <w:rFonts w:hint="eastAsia" w:ascii="仿宋_GB2312" w:eastAsia="仿宋_GB2312"/>
          <w:color w:val="000000"/>
          <w:sz w:val="32"/>
          <w:szCs w:val="32"/>
        </w:rPr>
        <w:t>住房保障支出（类）221住房改革支出（款）02住房公积金（项）01</w:t>
      </w:r>
      <w:r>
        <w:rPr>
          <w:rStyle w:val="19"/>
          <w:rFonts w:hint="eastAsia" w:ascii="仿宋_GB2312" w:eastAsia="仿宋_GB2312"/>
          <w:b w:val="0"/>
          <w:color w:val="000000"/>
          <w:sz w:val="32"/>
          <w:szCs w:val="32"/>
        </w:rPr>
        <w:t>：支出决算为</w:t>
      </w:r>
      <w:r>
        <w:rPr>
          <w:rStyle w:val="19"/>
          <w:rFonts w:hint="eastAsia" w:ascii="仿宋_GB2312" w:eastAsia="仿宋_GB2312"/>
          <w:b w:val="0"/>
          <w:color w:val="000000"/>
          <w:sz w:val="32"/>
          <w:szCs w:val="32"/>
          <w:lang w:val="en-US" w:eastAsia="zh-CN"/>
        </w:rPr>
        <w:t>33.78</w:t>
      </w:r>
      <w:r>
        <w:rPr>
          <w:rStyle w:val="19"/>
          <w:rFonts w:hint="eastAsia" w:ascii="仿宋_GB2312" w:eastAsia="仿宋_GB2312"/>
          <w:b w:val="0"/>
          <w:color w:val="000000"/>
          <w:sz w:val="32"/>
          <w:szCs w:val="32"/>
        </w:rPr>
        <w:t>万元，完成预算100%。</w:t>
      </w:r>
    </w:p>
    <w:p>
      <w:pPr>
        <w:tabs>
          <w:tab w:val="right" w:pos="8306"/>
        </w:tabs>
        <w:spacing w:line="600" w:lineRule="exact"/>
        <w:outlineLvl w:val="1"/>
        <w:rPr>
          <w:rStyle w:val="30"/>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b/>
          <w:bCs/>
          <w:color w:val="000000"/>
          <w:sz w:val="32"/>
          <w:szCs w:val="32"/>
        </w:rPr>
        <w:t>202</w:t>
      </w:r>
      <w:r>
        <w:rPr>
          <w:rFonts w:hint="eastAsia" w:ascii="仿宋" w:hAnsi="仿宋" w:eastAsia="仿宋"/>
          <w:b/>
          <w:bCs/>
          <w:color w:val="000000"/>
          <w:sz w:val="32"/>
          <w:szCs w:val="32"/>
          <w:lang w:val="en-US" w:eastAsia="zh-CN"/>
        </w:rPr>
        <w:t>2</w:t>
      </w:r>
      <w:r>
        <w:rPr>
          <w:rFonts w:hint="eastAsia" w:ascii="仿宋" w:hAnsi="仿宋" w:eastAsia="仿宋"/>
          <w:b/>
          <w:bCs/>
          <w:color w:val="000000"/>
          <w:sz w:val="32"/>
          <w:szCs w:val="32"/>
        </w:rPr>
        <w:t>年一般公共预算财政拨款基本支出</w:t>
      </w:r>
      <w:r>
        <w:rPr>
          <w:rFonts w:hint="eastAsia" w:ascii="仿宋_GB2312" w:hAnsi="仿宋_GB2312" w:eastAsia="仿宋_GB2312" w:cs="仿宋_GB2312"/>
          <w:b/>
          <w:bCs/>
          <w:color w:val="000000"/>
          <w:sz w:val="32"/>
          <w:szCs w:val="32"/>
          <w:lang w:val="en-US" w:eastAsia="zh-CN"/>
        </w:rPr>
        <w:t>430.89</w:t>
      </w:r>
      <w:r>
        <w:rPr>
          <w:rFonts w:hint="eastAsia" w:ascii="仿宋" w:hAnsi="仿宋" w:eastAsia="仿宋"/>
          <w:b/>
          <w:bCs/>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257.12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173.77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Fonts w:ascii="黑体" w:eastAsia="黑体"/>
          <w:color w:val="000000"/>
          <w:sz w:val="32"/>
          <w:szCs w:val="32"/>
        </w:rPr>
      </w:pPr>
      <w:bookmarkStart w:id="42" w:name="_Toc15377215"/>
      <w:bookmarkStart w:id="43" w:name="_Toc15396609"/>
    </w:p>
    <w:p>
      <w:pPr>
        <w:spacing w:line="600" w:lineRule="exact"/>
        <w:ind w:firstLine="640"/>
        <w:outlineLvl w:val="1"/>
        <w:rPr>
          <w:rStyle w:val="30"/>
          <w:rFonts w:ascii="黑体" w:hAnsi="黑体" w:eastAsia="黑体"/>
          <w:b w:val="0"/>
        </w:rPr>
      </w:pPr>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b w:val="0"/>
          <w:bCs w:val="0"/>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bookmarkStart w:id="46" w:name="_Toc15377221"/>
      <w:bookmarkStart w:id="47" w:name="_Toc15396612"/>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000000"/>
          <w:sz w:val="32"/>
          <w:szCs w:val="32"/>
        </w:rPr>
        <w:t>因公出国（境）经费支出0万元，年初未安排预算。</w:t>
      </w:r>
    </w:p>
    <w:p>
      <w:pPr>
        <w:keepNext w:val="0"/>
        <w:keepLines w:val="0"/>
        <w:pageBreakBefore w:val="0"/>
        <w:widowControl w:val="0"/>
        <w:kinsoku/>
        <w:wordWrap/>
        <w:overflowPunct/>
        <w:topLinePunct w:val="0"/>
        <w:autoSpaceDE/>
        <w:autoSpaceDN/>
        <w:bidi w:val="0"/>
        <w:adjustRightInd/>
        <w:snapToGrid/>
        <w:spacing w:line="576" w:lineRule="exact"/>
        <w:ind w:firstLine="680"/>
        <w:jc w:val="both"/>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年初未安排预算</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ageBreakBefore w:val="0"/>
        <w:kinsoku/>
        <w:wordWrap/>
        <w:overflowPunct/>
        <w:topLinePunct w:val="0"/>
        <w:bidi w:val="0"/>
        <w:spacing w:line="576" w:lineRule="exact"/>
        <w:ind w:firstLine="640"/>
        <w:jc w:val="both"/>
        <w:textAlignment w:val="auto"/>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0.48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减少率</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招商接待在上级部门报销。</w:t>
      </w:r>
    </w:p>
    <w:p>
      <w:pPr>
        <w:pageBreakBefore w:val="0"/>
        <w:kinsoku/>
        <w:wordWrap/>
        <w:overflowPunct/>
        <w:topLinePunct w:val="0"/>
        <w:bidi w:val="0"/>
        <w:spacing w:line="576" w:lineRule="exact"/>
        <w:jc w:val="both"/>
        <w:textAlignment w:val="auto"/>
        <w:outlineLvl w:val="1"/>
        <w:rPr>
          <w:rStyle w:val="30"/>
          <w:rFonts w:ascii="黑体" w:hAnsi="黑体" w:eastAsia="黑体"/>
          <w:color w:val="auto"/>
          <w:highlight w:val="none"/>
        </w:rPr>
      </w:pPr>
      <w:bookmarkStart w:id="48" w:name="_Toc15377218"/>
      <w:bookmarkStart w:id="49" w:name="_Toc15396610"/>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8"/>
      <w:bookmarkEnd w:id="49"/>
    </w:p>
    <w:p>
      <w:pPr>
        <w:pageBreakBefore w:val="0"/>
        <w:kinsoku/>
        <w:wordWrap/>
        <w:overflowPunct/>
        <w:topLinePunct w:val="0"/>
        <w:bidi w:val="0"/>
        <w:spacing w:line="576" w:lineRule="exact"/>
        <w:ind w:firstLine="640"/>
        <w:jc w:val="both"/>
        <w:textAlignment w:val="auto"/>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235.66</w:t>
      </w:r>
      <w:r>
        <w:rPr>
          <w:rFonts w:hint="eastAsia" w:ascii="仿宋_GB2312" w:eastAsia="仿宋_GB2312"/>
          <w:color w:val="auto"/>
          <w:sz w:val="32"/>
          <w:szCs w:val="32"/>
          <w:highlight w:val="none"/>
        </w:rPr>
        <w:t>万元。</w:t>
      </w:r>
    </w:p>
    <w:p>
      <w:pPr>
        <w:pageBreakBefore w:val="0"/>
        <w:numPr>
          <w:ilvl w:val="0"/>
          <w:numId w:val="2"/>
        </w:numPr>
        <w:kinsoku/>
        <w:wordWrap/>
        <w:overflowPunct/>
        <w:topLinePunct w:val="0"/>
        <w:bidi w:val="0"/>
        <w:spacing w:line="576" w:lineRule="exact"/>
        <w:ind w:left="-640" w:leftChars="0" w:firstLine="640" w:firstLineChars="0"/>
        <w:jc w:val="both"/>
        <w:textAlignment w:val="auto"/>
        <w:outlineLvl w:val="1"/>
        <w:rPr>
          <w:rStyle w:val="30"/>
          <w:rFonts w:ascii="黑体" w:hAnsi="黑体" w:eastAsia="黑体"/>
          <w:b w:val="0"/>
          <w:color w:val="auto"/>
          <w:highlight w:val="none"/>
        </w:rPr>
      </w:pPr>
      <w:bookmarkStart w:id="50" w:name="_Toc15377219"/>
      <w:bookmarkStart w:id="51" w:name="_Toc15396611"/>
      <w:r>
        <w:rPr>
          <w:rStyle w:val="30"/>
          <w:rFonts w:hint="eastAsia" w:ascii="黑体" w:hAnsi="黑体" w:eastAsia="黑体"/>
          <w:b w:val="0"/>
          <w:color w:val="auto"/>
          <w:highlight w:val="none"/>
        </w:rPr>
        <w:t>国有资本经营预算支出决算情况说明</w:t>
      </w:r>
      <w:bookmarkEnd w:id="50"/>
      <w:bookmarkEnd w:id="51"/>
    </w:p>
    <w:p>
      <w:pPr>
        <w:pageBreakBefore w:val="0"/>
        <w:kinsoku/>
        <w:wordWrap/>
        <w:overflowPunct/>
        <w:topLinePunct w:val="0"/>
        <w:bidi w:val="0"/>
        <w:spacing w:line="576" w:lineRule="exact"/>
        <w:ind w:firstLine="640"/>
        <w:jc w:val="both"/>
        <w:textAlignment w:val="auto"/>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20.34</w:t>
      </w:r>
      <w:r>
        <w:rPr>
          <w:rFonts w:hint="eastAsia" w:ascii="仿宋_GB2312" w:eastAsia="仿宋_GB2312"/>
          <w:color w:val="auto"/>
          <w:sz w:val="32"/>
          <w:szCs w:val="32"/>
          <w:highlight w:val="none"/>
        </w:rPr>
        <w:t>万元。</w:t>
      </w:r>
    </w:p>
    <w:p>
      <w:pPr>
        <w:spacing w:line="600" w:lineRule="exact"/>
        <w:ind w:firstLine="800" w:firstLineChars="250"/>
        <w:outlineLvl w:val="1"/>
        <w:rPr>
          <w:rStyle w:val="30"/>
          <w:rFonts w:ascii="黑体" w:hAnsi="黑体" w:eastAsia="黑体"/>
        </w:rPr>
      </w:pPr>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46"/>
      <w:bookmarkEnd w:id="47"/>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年，下西办事处机关运行经费支出</w:t>
      </w:r>
      <w:r>
        <w:rPr>
          <w:rFonts w:hint="eastAsia" w:ascii="仿宋_GB2312" w:eastAsia="仿宋_GB2312"/>
          <w:color w:val="000000"/>
          <w:sz w:val="32"/>
          <w:szCs w:val="32"/>
          <w:lang w:val="en-US" w:eastAsia="zh-CN"/>
        </w:rPr>
        <w:t>173.77</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5.97</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主要原因是人员变动等。</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3" w:name="_Toc15377223"/>
      <w:r>
        <w:rPr>
          <w:rFonts w:hint="eastAsia" w:ascii="仿宋" w:hAnsi="仿宋" w:eastAsia="仿宋"/>
          <w:b/>
          <w:color w:val="auto"/>
          <w:sz w:val="32"/>
          <w:szCs w:val="32"/>
          <w:highlight w:val="none"/>
        </w:rPr>
        <w:t>（二）政府采购支出情况</w:t>
      </w:r>
      <w:bookmarkEnd w:id="5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2.16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2.16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4" w:name="_Toc15377224"/>
      <w:r>
        <w:rPr>
          <w:rFonts w:hint="eastAsia" w:ascii="仿宋" w:hAnsi="仿宋" w:eastAsia="仿宋"/>
          <w:b/>
          <w:color w:val="auto"/>
          <w:sz w:val="32"/>
          <w:szCs w:val="32"/>
          <w:highlight w:val="none"/>
        </w:rPr>
        <w:t>（三）国有资产占有使用情况</w:t>
      </w:r>
      <w:bookmarkEnd w:id="54"/>
    </w:p>
    <w:p>
      <w:pPr>
        <w:pStyle w:val="6"/>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color w:val="auto"/>
          <w:sz w:val="32"/>
          <w:szCs w:val="32"/>
          <w:highlight w:val="none"/>
          <w:lang w:val="en-US" w:eastAsia="zh-CN"/>
        </w:rPr>
        <w:t>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下西办事处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ascii="仿宋_GB2312" w:eastAsia="仿宋_GB2312"/>
          <w:b/>
          <w:color w:val="000000"/>
          <w:sz w:val="32"/>
          <w:szCs w:val="32"/>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信访安全维稳</w:t>
      </w:r>
      <w:r>
        <w:rPr>
          <w:rFonts w:hint="eastAsia" w:ascii="仿宋_GB2312" w:hAnsi="仿宋_GB2312" w:eastAsia="仿宋_GB2312" w:cs="仿宋_GB2312"/>
          <w:color w:val="auto"/>
          <w:sz w:val="32"/>
          <w:szCs w:val="32"/>
          <w:highlight w:val="none"/>
        </w:rPr>
        <w:t>等项目开展了预算事前绩效评估，对</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p>
    <w:p>
      <w:pPr>
        <w:numPr>
          <w:ilvl w:val="0"/>
          <w:numId w:val="3"/>
        </w:numPr>
        <w:spacing w:line="600" w:lineRule="exact"/>
        <w:ind w:firstLine="662" w:firstLineChars="150"/>
        <w:jc w:val="center"/>
        <w:outlineLvl w:val="0"/>
        <w:rPr>
          <w:rStyle w:val="29"/>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9"/>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bookmarkStart w:id="57" w:name="_Toc15396614"/>
      <w:bookmarkStart w:id="58" w:name="_Toc15377226"/>
      <w:r>
        <w:rPr>
          <w:rFonts w:hint="eastAsia" w:ascii="仿宋_GB2312" w:eastAsia="仿宋_GB2312"/>
          <w:sz w:val="32"/>
          <w:szCs w:val="32"/>
        </w:rPr>
        <w:t>1.财政拨款收入：指单位从同级财政部门取得的财政预算资金。</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3.结余分配：指事业单位按照事业单位会计制度的规定从非财政补助结余中分配的事业基金和职工福利基金等。</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widowControl/>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5.</w:t>
      </w:r>
      <w:r>
        <w:rPr>
          <w:rFonts w:hint="eastAsia" w:ascii="仿宋_GB2312" w:hAnsi="仿宋_GB2312" w:eastAsia="仿宋_GB2312" w:cs="仿宋_GB2312"/>
          <w:kern w:val="0"/>
          <w:sz w:val="32"/>
          <w:szCs w:val="32"/>
        </w:rPr>
        <w:t>一般公共服务支出（类）201政府办公厅（室）及相关机构事务（款）03行政运行（项）01：指反映行政单位（包括实行公务员管理的事业单位）的基本支出。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6.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pStyle w:val="6"/>
        <w:ind w:firstLine="640" w:firstLineChars="200"/>
        <w:rPr>
          <w:rFonts w:hint="default" w:eastAsia="仿宋_GB2312"/>
          <w:lang w:val="en-US" w:eastAsia="zh-CN"/>
        </w:rPr>
      </w:pPr>
      <w:r>
        <w:rPr>
          <w:rFonts w:hint="eastAsia"/>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lang w:eastAsia="zh-CN"/>
        </w:rPr>
        <w:t>机关服务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：指反映行政单位（包括实行公务员管理的事业单位）</w:t>
      </w:r>
      <w:r>
        <w:rPr>
          <w:rFonts w:hint="eastAsia" w:ascii="仿宋_GB2312" w:eastAsia="仿宋_GB2312"/>
          <w:color w:val="000000"/>
          <w:sz w:val="32"/>
          <w:szCs w:val="32"/>
          <w:lang w:eastAsia="zh-CN"/>
        </w:rPr>
        <w:t>提供后勤服务的各类后勤服务中心、医务室等附属事业单位的支出。其他事业单位的支出，凡单独设置了项级科目的，在单独设置的项级科目中反应。未单设项级科目的，在“其他”项级科目中反应。</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 xml:space="preserve"> 专项业务及机关事务管理（项）05：指反映各级政府举行各类重大活动、召开重要会议（如国务院一类会议、国庆招待会、全国劳模大会）的支出，政府机关房地产管理、公务用车等管理方面的支出。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9. </w:t>
      </w:r>
      <w:r>
        <w:rPr>
          <w:rFonts w:hint="eastAsia" w:ascii="仿宋_GB2312" w:hAnsi="仿宋_GB2312" w:eastAsia="仿宋_GB2312" w:cs="仿宋_GB2312"/>
          <w:kern w:val="0"/>
          <w:sz w:val="32"/>
          <w:szCs w:val="32"/>
        </w:rPr>
        <w:t>一般公共服务支出（类）201纪检监察事务（款）11</w:t>
      </w:r>
      <w:r>
        <w:rPr>
          <w:rFonts w:hint="eastAsia" w:ascii="仿宋_GB2312" w:eastAsia="仿宋_GB2312"/>
          <w:color w:val="000000"/>
          <w:sz w:val="32"/>
          <w:szCs w:val="32"/>
        </w:rPr>
        <w:t>一般行政管理事务（项）02：指反映反应行政单位（</w:t>
      </w:r>
      <w:r>
        <w:rPr>
          <w:rFonts w:hint="eastAsia" w:ascii="仿宋_GB2312" w:hAnsi="仿宋_GB2312" w:eastAsia="仿宋_GB2312" w:cs="仿宋_GB2312"/>
          <w:kern w:val="0"/>
          <w:sz w:val="32"/>
          <w:szCs w:val="32"/>
        </w:rPr>
        <w:t>包括实行公务员管理的事业单位</w:t>
      </w:r>
      <w:r>
        <w:rPr>
          <w:rFonts w:hint="eastAsia" w:ascii="仿宋_GB2312" w:eastAsia="仿宋_GB2312"/>
          <w:color w:val="000000"/>
          <w:sz w:val="32"/>
          <w:szCs w:val="32"/>
        </w:rPr>
        <w:t>）未单独设置项级科目的其他项目支出。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lang w:eastAsia="zh-CN"/>
        </w:rPr>
        <w:t>党委办公厅（室）及相关机构事务</w:t>
      </w:r>
      <w:r>
        <w:rPr>
          <w:rFonts w:hint="eastAsia" w:ascii="仿宋_GB2312" w:eastAsia="仿宋_GB2312"/>
          <w:color w:val="000000"/>
          <w:sz w:val="32"/>
          <w:szCs w:val="32"/>
        </w:rPr>
        <w:t>（款）3</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lang w:eastAsia="zh-CN"/>
        </w:rPr>
        <w:t>党委办公厅（室）及相关机构事务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指反映</w:t>
      </w:r>
      <w:r>
        <w:rPr>
          <w:rFonts w:hint="eastAsia" w:ascii="仿宋_GB2312" w:eastAsia="仿宋_GB2312"/>
          <w:color w:val="000000"/>
          <w:sz w:val="32"/>
          <w:szCs w:val="32"/>
          <w:lang w:eastAsia="zh-CN"/>
        </w:rPr>
        <w:t>除上述项目以外其他用于党委办公厅（室）及相关机构事务支出</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市场监督管理事务（款）38</w:t>
      </w:r>
      <w:r>
        <w:rPr>
          <w:rFonts w:hint="eastAsia" w:ascii="仿宋_GB2312" w:eastAsia="仿宋_GB2312"/>
          <w:color w:val="000000"/>
          <w:sz w:val="32"/>
          <w:szCs w:val="32"/>
          <w:lang w:eastAsia="zh-CN"/>
        </w:rPr>
        <w:t>食品安全监管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指反映</w:t>
      </w:r>
      <w:r>
        <w:rPr>
          <w:rFonts w:hint="eastAsia" w:ascii="仿宋_GB2312" w:eastAsia="仿宋_GB2312"/>
          <w:color w:val="000000"/>
          <w:sz w:val="32"/>
          <w:szCs w:val="32"/>
          <w:lang w:eastAsia="zh-CN"/>
        </w:rPr>
        <w:t>食品安全监管等专项工作支出</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12.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其他一般公共服务支出（款）99其他一般公共服务支出（项）99指反映除用于上述项目以外的其他一般公共服务支出。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13.公共安全支出（类）204国家安全（款）03其他国家安全支出（项）99：指反映用于安全方面的支出。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14.社会保障和就业支出（类）208行政事业单位离退休（款）05机关事业单位基本养老保险缴费支出（项）05：指反映机关事业单位实施养老保险制度由单位缴纳的基本养老保险费支出。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15.社会保障和就业支出（类）208行政事业单位离退休（款）05机关事业单位职业年金缴费支出（项）06：指反映机关事业单位实施养老保险制度由单位实际缴纳的职业年金支出。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16.社会保障和就业支出（类）208行政事业单位离退休（款）05行政单位离退休（项）01：指反映行政单位（包括实行公务员管理的事业单位）开支的离退休经费。</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卫生健康支出（类）210行政事业单位医疗（类）11行政单位医疗（项）01：指反映财政部门集中安排的行政单位基本医疗保险缴费经费，未参加医疗保险的行政单位的公费医疗经费，按国家规定享受离休人员待遇的医疗费用。</w:t>
      </w:r>
    </w:p>
    <w:p>
      <w:pPr>
        <w:pStyle w:val="6"/>
        <w:ind w:firstLine="640" w:firstLineChars="200"/>
        <w:rPr>
          <w:rFonts w:hint="default" w:eastAsia="仿宋_GB2312"/>
          <w:lang w:val="en-US" w:eastAsia="zh-CN"/>
        </w:rPr>
      </w:pPr>
      <w:r>
        <w:rPr>
          <w:rFonts w:hint="eastAsia"/>
          <w:color w:val="000000"/>
          <w:sz w:val="32"/>
          <w:szCs w:val="32"/>
          <w:lang w:val="en-US" w:eastAsia="zh-CN"/>
        </w:rPr>
        <w:t>18、城乡社区支出（类）212城乡社区管理事务（款）01城管执法（项）04：反映城市管理综合行政执法、加强城市市容和环境卫生管理等方面的支出。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.城乡社区支出（类）212城乡社区环境卫生（款）05城乡社区环境卫生（项）01：反映城乡社区道路清扫、垃圾清运与处理、公厕建设与维护、园林绿化等方面的支出。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农林水支出（类）213农业（款）01病虫害控制（项）08：反映用于病虫鼠害及疫情监测、预报、预防、控制、检疫、防疫所需的仪器、设施、药物、疫苗、种苗，疫畜防治、扑杀补偿及劳务补助、菌（毒）种保藏及动植物及其产品检疫、检测等方面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.农林水支出（类）213林业（款）02林业防灾减灾（项）34：反映为预防和扑救、救治森林火灾、林业有害生物灾害、自然水旱灾害等发生的支出。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.农林水支出（类）213农村综合改革（款）07对村民委员会和村党支部的补助（项）05：反映各级财政对村民委员会和村党支部的补助支出，以及支持建立县级基本财力保障机制安排的村级组织运转奖补资金。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.交通运输支出（类）214公路水路运输（款）01公路和运输安全（项）10：指反映公路和运输安全支出。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26.</w:t>
      </w:r>
      <w:r>
        <w:rPr>
          <w:rFonts w:hint="eastAsia" w:ascii="仿宋_GB2312" w:eastAsia="仿宋_GB2312"/>
          <w:color w:val="000000"/>
          <w:sz w:val="32"/>
          <w:szCs w:val="32"/>
          <w:lang w:eastAsia="zh-CN"/>
        </w:rPr>
        <w:t>城乡社区支出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212</w:t>
      </w:r>
      <w:r>
        <w:rPr>
          <w:rFonts w:hint="eastAsia" w:ascii="仿宋_GB2312" w:eastAsia="仿宋_GB2312"/>
          <w:color w:val="000000"/>
          <w:sz w:val="32"/>
          <w:szCs w:val="32"/>
          <w:lang w:eastAsia="zh-CN"/>
        </w:rPr>
        <w:t>国有土地使用权出让收入安排的支出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lang w:eastAsia="zh-CN"/>
        </w:rPr>
        <w:t>其他国有土地使用权出让收入安排的支出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：指反映</w:t>
      </w:r>
      <w:r>
        <w:rPr>
          <w:rFonts w:hint="eastAsia" w:ascii="仿宋_GB2312" w:eastAsia="仿宋_GB2312"/>
          <w:color w:val="000000"/>
          <w:sz w:val="32"/>
          <w:szCs w:val="32"/>
          <w:lang w:eastAsia="zh-CN"/>
        </w:rPr>
        <w:t>土地出让收入用于其他方面的支出。不包括市县级政府当年按规定用土地出让收入向中央和省级政府缴纳的新增建设用地土地有偿使用费的支出。</w:t>
      </w:r>
    </w:p>
    <w:p>
      <w:pPr>
        <w:pStyle w:val="6"/>
      </w:pPr>
      <w:r>
        <w:rPr>
          <w:rFonts w:hint="eastAsia"/>
          <w:color w:val="000000"/>
          <w:sz w:val="32"/>
          <w:szCs w:val="32"/>
          <w:lang w:val="en-US" w:eastAsia="zh-CN"/>
        </w:rPr>
        <w:t xml:space="preserve">   27、国有资本经营预算支出（类）223解决历史遗留问题及改革成本支出（款）01国有企业退休人员社会化管理补助支出（项）05：指反映国有资本经营预算安排的支持国有企业退休人员移交社区实现社会化管理的支出。</w:t>
      </w:r>
    </w:p>
    <w:p>
      <w:pPr>
        <w:pStyle w:val="6"/>
        <w:rPr>
          <w:rFonts w:hint="eastAsia"/>
          <w:color w:val="000000"/>
          <w:sz w:val="32"/>
          <w:szCs w:val="32"/>
          <w:lang w:val="en-US" w:eastAsia="zh-CN"/>
        </w:rPr>
      </w:pPr>
      <w:r>
        <w:rPr>
          <w:rFonts w:hint="eastAsia"/>
          <w:lang w:val="en-US" w:eastAsia="zh-CN"/>
        </w:rPr>
        <w:t xml:space="preserve">   </w:t>
      </w:r>
      <w:r>
        <w:rPr>
          <w:rFonts w:hint="eastAsia"/>
          <w:color w:val="000000"/>
          <w:sz w:val="32"/>
          <w:szCs w:val="32"/>
          <w:lang w:val="en-US" w:eastAsia="zh-CN"/>
        </w:rPr>
        <w:t>28、其他支出（类）229彩票公益金安排的支出（款）60用于体育事业的彩票公益金支出（项）03：指反映体育事业的彩票公益金支出。</w:t>
      </w:r>
    </w:p>
    <w:p>
      <w:pPr>
        <w:pStyle w:val="6"/>
        <w:ind w:firstLine="320" w:firstLineChars="100"/>
        <w:rPr>
          <w:rFonts w:hint="eastAsia"/>
          <w:color w:val="000000"/>
          <w:sz w:val="32"/>
          <w:szCs w:val="32"/>
          <w:lang w:val="en-US" w:eastAsia="zh-CN"/>
        </w:rPr>
      </w:pPr>
      <w:r>
        <w:rPr>
          <w:rFonts w:hint="eastAsia"/>
          <w:color w:val="000000"/>
          <w:sz w:val="32"/>
          <w:szCs w:val="32"/>
          <w:lang w:val="en-US" w:eastAsia="zh-CN"/>
        </w:rPr>
        <w:t>29、灾害防治及应急管理支出（类）224应急管理事务（款）01应急救援（项）08：指反映安全生产、自然灾害应急救援方面的支出。</w:t>
      </w:r>
    </w:p>
    <w:p>
      <w:pPr>
        <w:pStyle w:val="6"/>
        <w:ind w:firstLine="640" w:firstLineChars="200"/>
        <w:rPr>
          <w:rFonts w:hint="default"/>
          <w:lang w:val="en-US" w:eastAsia="zh-CN"/>
        </w:rPr>
      </w:pPr>
      <w:r>
        <w:rPr>
          <w:rFonts w:hint="eastAsia"/>
          <w:color w:val="000000"/>
          <w:sz w:val="32"/>
          <w:szCs w:val="32"/>
          <w:lang w:val="en-US" w:eastAsia="zh-CN"/>
        </w:rPr>
        <w:t>30、灾害防治及应急管理支出（类）224自然灾害救灾及恢复重建支出（款）07自然灾害救灾补助（项）03：指反映用于应对重大自然灾害应急救援和受灾群众救助的支出。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4</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00" w:firstLineChars="200"/>
        <w:rPr>
          <w:rFonts w:hint="eastAsia" w:ascii="仿宋_GB2312" w:eastAsia="仿宋_GB2312"/>
          <w:sz w:val="32"/>
          <w:szCs w:val="32"/>
        </w:rPr>
      </w:pPr>
      <w:r>
        <w:rPr>
          <w:rFonts w:hint="eastAsia" w:ascii="仿宋_GB2312" w:eastAsia="仿宋_GB2312"/>
          <w:sz w:val="30"/>
          <w:szCs w:val="30"/>
        </w:rPr>
        <w:t>3</w:t>
      </w:r>
      <w:r>
        <w:rPr>
          <w:rFonts w:hint="eastAsia" w:ascii="仿宋_GB2312" w:eastAsia="仿宋_GB2312"/>
          <w:sz w:val="32"/>
          <w:szCs w:val="32"/>
          <w:lang w:val="en-US" w:eastAsia="zh-CN"/>
        </w:rPr>
        <w:t>5</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57"/>
    <w:p>
      <w:pPr>
        <w:pStyle w:val="7"/>
        <w:rPr>
          <w:rFonts w:hint="eastAsia" w:ascii="黑体" w:hAnsi="黑体" w:eastAsia="黑体"/>
          <w:color w:val="000000"/>
          <w:sz w:val="44"/>
          <w:szCs w:val="44"/>
        </w:rPr>
      </w:pPr>
      <w:bookmarkStart w:id="59" w:name="_Toc15396618"/>
    </w:p>
    <w:p>
      <w:pPr>
        <w:pStyle w:val="7"/>
        <w:jc w:val="center"/>
        <w:rPr>
          <w:rFonts w:hint="default" w:ascii="黑体" w:hAnsi="黑体" w:eastAsia="黑体"/>
          <w:color w:val="000000"/>
          <w:sz w:val="44"/>
          <w:szCs w:val="44"/>
          <w:lang w:val="en-US" w:eastAsia="zh-CN"/>
        </w:rPr>
      </w:pPr>
      <w:r>
        <w:rPr>
          <w:rFonts w:hint="eastAsia" w:ascii="黑体" w:hAnsi="黑体" w:eastAsia="黑体"/>
          <w:color w:val="000000"/>
          <w:sz w:val="44"/>
          <w:szCs w:val="44"/>
          <w:lang w:eastAsia="zh-CN"/>
        </w:rPr>
        <w:t>第四部分</w:t>
      </w:r>
      <w:r>
        <w:rPr>
          <w:rFonts w:hint="eastAsia" w:ascii="黑体" w:hAnsi="黑体" w:eastAsia="黑体"/>
          <w:color w:val="000000"/>
          <w:sz w:val="44"/>
          <w:szCs w:val="44"/>
          <w:lang w:val="en-US" w:eastAsia="zh-CN"/>
        </w:rPr>
        <w:t xml:space="preserve">    附件</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360" w:lineRule="auto"/>
        <w:ind w:right="420" w:rightChars="200"/>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下西坝街道办事处2022年部门整体支出绩效评价自评报告</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为了进一步加强我单位绩效评价管理，提高财政资金使用效率, 根据相关文件要求， 结合实际，现将自评情况报告如下：</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一、预算单位概况</w:t>
      </w:r>
    </w:p>
    <w:p>
      <w:pPr>
        <w:pStyle w:val="15"/>
        <w:widowControl/>
        <w:shd w:val="clear" w:color="auto" w:fill="FFFFFF"/>
        <w:spacing w:before="130" w:beforeAutospacing="0" w:after="0" w:afterAutospacing="0" w:line="580" w:lineRule="atLeast"/>
        <w:ind w:firstLine="674"/>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主要职责为：负责辖区内经济社区发展、安全生产、信访维稳、房屋征收与补偿、计划生育、民政、劳动就业、社会保障、环境卫生等工作。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下西坝街道机关现有在编人员13人（其中，公务员7人，工勤人员4人，事业干部2人，聘用人员20人。下设党政综合办公室（含财政所、党建办公室、目标绩效和督促检查办公室）、城市建设服务中心（含土地房屋征收拆迁办公室、国土所、物业管理办公室）、社会民生服务中心（含便民服务中心、劳动保障所、退役军人事务办公室、综合执法办公室、社会工作服务站）、社区发展中心（含农业站、统计站）、社区治理中心（含综合治理办公室、应急管理办公室）人民武装部、工会、团工委、妇联 。 </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二、预算单位财政收支情况</w:t>
      </w:r>
    </w:p>
    <w:p>
      <w:pPr>
        <w:spacing w:line="360" w:lineRule="auto"/>
        <w:ind w:left="-210" w:leftChars="-100" w:right="-210" w:rightChars="-10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（一）部门财政资金收入情况</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2022年部门财政资金收入1362.48万元，其中一般公共预算财政拨款收入1106.48万元，政府性基金收入235.66万元，国有资本经营预算财政拨款收入20.34万元。</w:t>
      </w:r>
    </w:p>
    <w:p>
      <w:pPr>
        <w:spacing w:line="360" w:lineRule="auto"/>
        <w:ind w:left="-210" w:leftChars="-100" w:right="-210" w:rightChars="-10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（二）部门财政资金支出情况</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2022年支出总计1362.48万元，其中基本支出430.89万元，项目支出931.59万元。</w:t>
      </w:r>
    </w:p>
    <w:p>
      <w:pPr>
        <w:numPr>
          <w:ilvl w:val="0"/>
          <w:numId w:val="4"/>
        </w:num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部门整体预算绩效管理情况</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（一）部门预算项目绩效管理</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1.目标管理</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（1）目标制定</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2022年高标准、高质量完成了</w:t>
      </w:r>
      <w:r>
        <w:rPr>
          <w:rFonts w:hint="eastAsia" w:ascii="仿宋_GB2312" w:hAnsi="仿宋_GB2312" w:eastAsia="仿宋_GB2312" w:cs="仿宋_GB2312"/>
          <w:sz w:val="32"/>
          <w:szCs w:val="32"/>
          <w:lang w:val="zh-CN"/>
        </w:rPr>
        <w:t>绩效目标制定</w:t>
      </w:r>
      <w:r>
        <w:rPr>
          <w:rFonts w:hint="eastAsia" w:ascii="仿宋_GB2312" w:hAnsi="仿宋_GB2312" w:eastAsia="仿宋_GB2312" w:cs="仿宋_GB2312"/>
          <w:sz w:val="32"/>
          <w:szCs w:val="32"/>
        </w:rPr>
        <w:t>。做到了</w:t>
      </w:r>
      <w:r>
        <w:rPr>
          <w:rFonts w:hint="eastAsia" w:ascii="仿宋_GB2312" w:hAnsi="仿宋_GB2312" w:eastAsia="仿宋_GB2312" w:cs="仿宋_GB2312"/>
          <w:sz w:val="32"/>
          <w:szCs w:val="32"/>
          <w:lang w:val="zh-CN"/>
        </w:rPr>
        <w:t>绩效目标制定</w:t>
      </w:r>
      <w:r>
        <w:rPr>
          <w:rFonts w:hint="eastAsia" w:ascii="仿宋_GB2312" w:hAnsi="仿宋_GB2312" w:eastAsia="仿宋_GB2312" w:cs="仿宋_GB2312"/>
          <w:sz w:val="32"/>
          <w:szCs w:val="32"/>
        </w:rPr>
        <w:t>规范、完整无漏项，单位编制、人员情况与供养人员横向联网系统数据吻合，项目名称、绩效指标、项目内容说明等符合规范。细化量化了产出指标、效益指标等，反映了相应项目工作任务及效果。</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（2）目标实现</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一是人员类项目。按照规定标准及时足额发放工作人员工资薪酬，保障了工作有序开展，完成计划目标任务；</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二是机关运行经费项目。保障了单位日常运转。年初制定的运转保障率、预算准确率、三公经费空置率、科目调整次数等指标均完成；</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三是部门预算项目。总体完成较好，基本实现了预期目标。</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2.动态调整</w:t>
      </w:r>
    </w:p>
    <w:p>
      <w:pPr>
        <w:spacing w:line="360" w:lineRule="auto"/>
        <w:ind w:left="-210" w:leftChars="-100" w:right="-210" w:rightChars="-100"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（1）支出控制。部门日常公用经费、项目支出中“办公费、印刷费、水费、电费、物管费”等科目年初预算数与决算数部分偏差。</w:t>
      </w:r>
    </w:p>
    <w:p>
      <w:pPr>
        <w:spacing w:line="360" w:lineRule="auto"/>
        <w:ind w:left="-210" w:leftChars="-100" w:right="-210" w:rightChars="-10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（2）及时处置。2022年按时完成预算绩效运行监控，将绩效监控结果应用到预算调整，合理安排预算执行进度，提高资金使用绩效。2022年</w:t>
      </w:r>
      <w:r>
        <w:rPr>
          <w:rFonts w:hint="eastAsia" w:ascii="仿宋_GB2312" w:hAnsi="仿宋_GB2312" w:eastAsia="仿宋_GB2312" w:cs="仿宋_GB2312"/>
          <w:sz w:val="32"/>
          <w:szCs w:val="32"/>
          <w:lang w:val="zh-CN"/>
        </w:rPr>
        <w:t>不涉及绩效监控调整取消额和结余注销额。</w:t>
      </w:r>
    </w:p>
    <w:p>
      <w:pPr>
        <w:spacing w:line="360" w:lineRule="auto"/>
        <w:ind w:left="-210" w:leftChars="-100" w:right="-210" w:rightChars="-10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（3）执行进度。</w:t>
      </w:r>
      <w:r>
        <w:rPr>
          <w:rFonts w:hint="eastAsia" w:ascii="仿宋_GB2312" w:hAnsi="仿宋_GB2312" w:eastAsia="仿宋_GB2312" w:cs="仿宋_GB2312"/>
          <w:sz w:val="32"/>
          <w:szCs w:val="32"/>
          <w:lang w:val="zh-CN"/>
        </w:rPr>
        <w:t>部门预算资金在财政资金下拨后及时支出，均超出了6、9月应达到序时进度的80%、90%，即实际支出进度分别达到40%、67.5%的要求。</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3、完成效率</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（1）预算完成。2022年部门预算项目执行进度均达到100%。</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（2）资金结余率。2022年预算项目年末无结转结余。</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（3）2022年度我单位未收到</w:t>
      </w:r>
      <w:r>
        <w:rPr>
          <w:rFonts w:hint="eastAsia" w:ascii="仿宋_GB2312" w:hAnsi="仿宋_GB2312" w:eastAsia="仿宋_GB2312" w:cs="仿宋_GB2312"/>
          <w:sz w:val="32"/>
          <w:szCs w:val="32"/>
          <w:lang w:val="zh-CN"/>
        </w:rPr>
        <w:t>审计监督、财政检查反映单位上一年度部门预算管理不合规的情况，</w:t>
      </w:r>
      <w:r>
        <w:rPr>
          <w:rFonts w:hint="eastAsia" w:ascii="仿宋_GB2312" w:hAnsi="仿宋_GB2312" w:eastAsia="仿宋_GB2312" w:cs="仿宋_GB2312"/>
          <w:sz w:val="32"/>
          <w:szCs w:val="32"/>
        </w:rPr>
        <w:t>未发现部门预算管理方面违纪违规问题。</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（二）专项项目预算</w:t>
      </w:r>
    </w:p>
    <w:p>
      <w:pPr>
        <w:spacing w:line="360" w:lineRule="auto"/>
        <w:ind w:left="210" w:leftChars="100" w:right="-210" w:rightChars="-1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专项预算项目均完成预期绩效目标。</w:t>
      </w:r>
    </w:p>
    <w:p>
      <w:pPr>
        <w:numPr>
          <w:ilvl w:val="0"/>
          <w:numId w:val="5"/>
        </w:num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结果运用公开情况</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1、内部应用</w:t>
      </w:r>
    </w:p>
    <w:p>
      <w:pPr>
        <w:spacing w:line="360" w:lineRule="auto"/>
        <w:ind w:left="-210" w:leftChars="-100" w:right="-210" w:rightChars="-10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我单位尚未</w:t>
      </w:r>
      <w:r>
        <w:rPr>
          <w:rFonts w:hint="eastAsia" w:ascii="仿宋_GB2312" w:hAnsi="仿宋_GB2312" w:eastAsia="仿宋_GB2312" w:cs="仿宋_GB2312"/>
          <w:sz w:val="32"/>
          <w:szCs w:val="32"/>
          <w:lang w:val="zh-CN"/>
        </w:rPr>
        <w:t>将内设机构绩效自评纳入考核体系，也无与绩效挂钩机制。</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2.信息公开</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按照财政部门的管理要求，我单位将部门整体绩效自评情况和自行组织的评价情况通过政务外网随同单位决算向社会公开。</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3.整改反馈</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无需要整改反馈事项。</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（三）自评质量</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我单位自评得分</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分，自评结果较为真实准确的反映了我单位2022年部门整体支出绩效情况，自评工作总体质量较好。</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四、评价结论及建议</w:t>
      </w:r>
    </w:p>
    <w:p>
      <w:pPr>
        <w:spacing w:line="360" w:lineRule="auto"/>
        <w:ind w:left="-210" w:leftChars="-100" w:right="-210" w:rightChars="-10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（一）评价结论</w:t>
      </w:r>
    </w:p>
    <w:p>
      <w:pPr>
        <w:spacing w:line="360" w:lineRule="auto"/>
        <w:ind w:left="-210" w:leftChars="-100" w:right="-210" w:righ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年我单位整体支出效果良好，</w:t>
      </w:r>
      <w:r>
        <w:rPr>
          <w:rFonts w:hint="eastAsia" w:ascii="仿宋_GB2312" w:hAnsi="仿宋_GB2312" w:eastAsia="仿宋_GB2312" w:cs="仿宋_GB2312"/>
          <w:sz w:val="32"/>
          <w:szCs w:val="32"/>
        </w:rPr>
        <w:t>2022年绩效目标设置明确、预算编制较准确、项目预算执行较好</w:t>
      </w:r>
      <w:r>
        <w:rPr>
          <w:rFonts w:hint="eastAsia" w:ascii="仿宋_GB2312" w:hAnsi="仿宋_GB2312" w:eastAsia="仿宋_GB2312" w:cs="仿宋_GB2312"/>
          <w:sz w:val="32"/>
          <w:szCs w:val="32"/>
          <w:lang w:val="zh-CN"/>
        </w:rPr>
        <w:t>，基本按照计划完成年度工作任务，实现了年度绩效目标，目标设置明确、预算编制较准确。预算执行过程中开展绩效监控，年终开展了绩效自评。预算绩效管理工作取得了明显成效。</w:t>
      </w:r>
    </w:p>
    <w:p>
      <w:pPr>
        <w:numPr>
          <w:ilvl w:val="0"/>
          <w:numId w:val="6"/>
        </w:numPr>
        <w:spacing w:line="360" w:lineRule="auto"/>
        <w:ind w:left="-210" w:leftChars="-100" w:right="-210" w:rightChars="-10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存在问题</w:t>
      </w:r>
    </w:p>
    <w:p>
      <w:pPr>
        <w:spacing w:line="360" w:lineRule="auto"/>
        <w:ind w:left="210" w:leftChars="100" w:right="-210" w:right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未建立内部绩效考核机制。</w:t>
      </w:r>
    </w:p>
    <w:p>
      <w:pPr>
        <w:spacing w:line="360" w:lineRule="auto"/>
        <w:ind w:left="-210" w:leftChars="-100" w:right="-210" w:rightChars="-100" w:firstLine="640" w:firstLineChars="200"/>
        <w:rPr>
          <w:rFonts w:hint="eastAsia" w:ascii="仿宋_GB2312" w:hAnsi="仿宋_GB2312" w:eastAsia="仿宋_GB2312" w:cs="仿宋_GB2312"/>
          <w:sz w:val="32"/>
          <w:szCs w:val="32"/>
        </w:rPr>
      </w:pPr>
      <w:bookmarkStart w:id="60" w:name="bookmark28"/>
      <w:r>
        <w:rPr>
          <w:rFonts w:hint="eastAsia" w:ascii="仿宋_GB2312" w:hAnsi="仿宋_GB2312" w:eastAsia="仿宋_GB2312" w:cs="仿宋_GB2312"/>
          <w:sz w:val="32"/>
          <w:szCs w:val="32"/>
        </w:rPr>
        <w:t>（</w:t>
      </w:r>
      <w:bookmarkEnd w:id="60"/>
      <w:r>
        <w:rPr>
          <w:rFonts w:hint="eastAsia" w:ascii="仿宋_GB2312" w:hAnsi="仿宋_GB2312" w:eastAsia="仿宋_GB2312" w:cs="仿宋_GB2312"/>
          <w:sz w:val="32"/>
          <w:szCs w:val="32"/>
        </w:rPr>
        <w:t>三）改进建议</w:t>
      </w:r>
    </w:p>
    <w:p>
      <w:pPr>
        <w:pStyle w:val="15"/>
        <w:widowControl/>
        <w:spacing w:before="0" w:beforeAutospacing="0" w:after="0" w:afterAutospacing="0" w:line="580" w:lineRule="atLeast"/>
        <w:ind w:firstLine="320" w:firstLineChars="1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今后建立内部机构绩效考核机制，加大内设机构绩效自评与预算挂钩力度，奖优罚劣，提高财政资金支出绩效。</w:t>
      </w:r>
    </w:p>
    <w:p>
      <w:pPr>
        <w:pStyle w:val="15"/>
        <w:widowControl/>
        <w:spacing w:before="0" w:beforeAutospacing="0" w:after="0" w:afterAutospacing="0" w:line="580" w:lineRule="atLeast"/>
        <w:ind w:firstLine="320" w:firstLineChars="100"/>
        <w:jc w:val="both"/>
        <w:rPr>
          <w:rFonts w:hint="eastAsia" w:ascii="仿宋_GB2312" w:hAnsi="仿宋_GB2312" w:eastAsia="仿宋_GB2312" w:cs="仿宋_GB2312"/>
          <w:kern w:val="2"/>
          <w:sz w:val="32"/>
          <w:szCs w:val="32"/>
        </w:rPr>
      </w:pPr>
    </w:p>
    <w:p>
      <w:pPr>
        <w:pStyle w:val="15"/>
        <w:widowControl/>
        <w:spacing w:before="0" w:beforeAutospacing="0" w:after="0" w:afterAutospacing="0" w:line="580" w:lineRule="atLeast"/>
        <w:ind w:firstLine="320" w:firstLineChars="100"/>
        <w:jc w:val="both"/>
        <w:rPr>
          <w:rFonts w:hint="eastAsia" w:ascii="仿宋_GB2312" w:hAnsi="仿宋_GB2312" w:eastAsia="仿宋_GB2312" w:cs="仿宋_GB2312"/>
          <w:kern w:val="2"/>
          <w:sz w:val="32"/>
          <w:szCs w:val="32"/>
        </w:rPr>
      </w:pPr>
    </w:p>
    <w:tbl>
      <w:tblPr>
        <w:tblStyle w:val="17"/>
        <w:tblW w:w="10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1432"/>
        <w:gridCol w:w="1741"/>
        <w:gridCol w:w="1476"/>
        <w:gridCol w:w="512"/>
        <w:gridCol w:w="1162"/>
        <w:gridCol w:w="512"/>
        <w:gridCol w:w="1074"/>
        <w:gridCol w:w="504"/>
        <w:gridCol w:w="486"/>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51088922T000004759682-下西维稳信访安全防邪禁毒等经费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办事处信访、维稳、防邪、禁毒、扫黑除恶宣传等日常工作正常运行，保障辖区社会稳定</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办事处信访、维稳、防邪、禁毒、扫黑除恶宣传等日常工作正常运行，保障辖区社会稳定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值班天数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信访举报办结率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重大群体事件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51088922T000004795559-下西干部培训经费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保障办事处干部职工日常培训费用。提高干部职工队伍的整体素质，强化学习，不断为基层培养更多的干部队伍，保障党的基层组织建设不断创新发展</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保障办事处干部职工日常培训费用。提高干部职工队伍的整体素质，强化学习，不断为基层培养更多的干部队伍，保障党的基层组织建设不断创新发展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培训支出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32600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参加培训班次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干部培训时间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参加培训人次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培训计划完成率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干部参训率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干部业务水平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干部业务水平有待提高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51088922T000004795606-下西党建经费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保障办事处党建、统战工作正常开展，贯彻落实上级部门的部署要求</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保障办事处党建、统战工作正常开展，贯彻落实上级部门的部署要求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购置彩色打印机数量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党建宣传</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设备利用率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党建知识知晓率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宣传力度有待加强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51088922T000004795652-下西农村道路交通安全管理经费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该项目主要用于保障农村道路安全知识宣传工作正常运行，检查农村道路安全行驶</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该项目主要用于保障农村道路安全知识宣传工作正常运行，检查农村道路安全行驶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指标1：道路安全检查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指标2：制作安全标识标牌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指标1：检查人员被投诉率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指标2：标识规范率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指标1：办公费、劳务费、器材等费用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指标1：交通事故降低率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项目效益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指标2：安全隐患排查率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该项目自评分为95分，该项目管理规范，规划科学。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51088922T000004795682-下西依法治理和普法工作经费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该项目主要用于深入开展行业依法治理，进一步创新普法教育形式，全面提升普法依法治理工作水平，努力提升市场主体对普法依法治理工作的满意度、获得感。</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该项目主要用于深入开展行业依法治理，进一步创新普法教育形式，全面提升普法依法治理工作水平，努力提升市场主体对普法依法治理工作的满意度、获得感。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指标1：制作宣传展板</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副</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指标2：法制宣传次数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w:t>
            </w:r>
            <w:r>
              <w:rPr>
                <w:rFonts w:hint="eastAsia" w:ascii="宋体" w:hAnsi="宋体" w:eastAsia="宋体" w:cs="宋体"/>
                <w:i w:val="0"/>
                <w:iCs w:val="0"/>
                <w:color w:val="000000"/>
                <w:kern w:val="0"/>
                <w:sz w:val="24"/>
                <w:szCs w:val="24"/>
                <w:u w:val="none"/>
                <w:lang w:val="en-US" w:eastAsia="zh-CN" w:bidi="ar"/>
              </w:rPr>
              <w:t>：法制宣传覆盖率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指标2：宣传展板使用率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指标1：宣传费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项目效益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指标1：法制知识知晓率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项目效益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指标2：法律风险规避率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项目效益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指标1：依法办事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该项目自评分为98分，该项目管理规范，规划科学。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51088922T000004795714-下西食品安全监督管理经费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安全知识培训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安全知识宣传</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安全手册印制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重大安全事故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项目效益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宣传费、培训费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项目效益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，该项目管理规范，规划科学。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51088922T000004795898-下西城乡环境综合治理经费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该项目主要用于做好人居环境整治工作，全乡开展环境综合整治。主要对各村社区进农村生活污水治理、农村生活垃圾综合整治以及其他与村庄环境质量改善密切相关的环境综合整治措施等</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购买消杀药物</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卫生整治次数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印制宣传册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购买卫生整治工具</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卫生抽查覆盖率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宣传费、办公费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垃圾处理及时率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经费100%保障了农村环境综合治理工作开展。</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完成7个村的环境整治工作,使人居环境进一步得到提升,群众获得感进一步得到加强。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51088922T000004795939-下西畜禽防疫经费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该项目主要用于主抓动物强制免疫工作，确保防疫密度和质量；主抓重大动物疫病的防控工作，确保外疫不传入我村；主抓动物疫情报告制度、疫情监测，确保无大的疫情发生</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该项目主要用于主抓动物强制免疫工作，确保防疫密度和质量；主抓重大动物疫病的防控工作，确保外疫不传入我村；主抓动物疫情报告制度、疫情监测，确保无大的疫情发生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指标1：宣传畜禽防疫知识次数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指标2：春秋两季防疫消毒次数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指标1：强制免疫病种接种率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指标1：宣传费等</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项目效益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指标1：重大疫情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项目效益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指标1：无害化处理率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该项目自评分为98分，该项目管理规范，规划科学。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51088922T000004796093-下西森林防火、防灾及森林资源保护工作经费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改善森林防火设施装备，提升了队伍的森林防火预防和扑救综合能力，增强了我街道抗御森林火灾的能力，最大限度地减少了森林火灾损失，充分发挥森林的多种效益。</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改善森林防火设施装备，提升了队伍的森林防火预防和扑救综合能力，增强了我街道抗御森林火灾的能力，最大限度地减少了森林火灾损失，充分发挥森林的多种效益。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指标1：印制宣传册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指标2：</w:t>
            </w:r>
            <w:r>
              <w:rPr>
                <w:rFonts w:hint="eastAsia" w:ascii="宋体" w:hAnsi="宋体" w:cs="宋体"/>
                <w:i w:val="0"/>
                <w:iCs w:val="0"/>
                <w:color w:val="000000"/>
                <w:kern w:val="0"/>
                <w:sz w:val="18"/>
                <w:szCs w:val="18"/>
                <w:u w:val="none"/>
                <w:lang w:val="en-US" w:eastAsia="zh-CN" w:bidi="ar"/>
              </w:rPr>
              <w:t>物资</w:t>
            </w:r>
            <w:r>
              <w:rPr>
                <w:rFonts w:ascii="宋体" w:hAnsi="宋体" w:eastAsia="宋体" w:cs="宋体"/>
                <w:i w:val="0"/>
                <w:iCs w:val="0"/>
                <w:color w:val="000000"/>
                <w:kern w:val="0"/>
                <w:sz w:val="18"/>
                <w:szCs w:val="18"/>
                <w:u w:val="none"/>
                <w:lang w:val="en-US" w:eastAsia="zh-CN" w:bidi="ar"/>
              </w:rPr>
              <w:t>储备更换批次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指标1：森林防火安全检查覆盖率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指标2：8小时火灾扑灭率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指标1：宣传费、购买物资费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项目效益</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指标1：重大安全事故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提高了综合防控能力，减少了森林火灾发生，降低了森林火灾损失；提高了林分质量，有利于优化林种、树种结构、抑制森林病虫害、保持生物多样性；确保森林安全，防止了水土流失，改善了生态环境。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51088922T000004796115-下西防汛及地</w:t>
            </w:r>
            <w:r>
              <w:rPr>
                <w:rFonts w:hint="eastAsia" w:ascii="宋体" w:hAnsi="宋体" w:cs="宋体"/>
                <w:i w:val="0"/>
                <w:iCs w:val="0"/>
                <w:color w:val="000000"/>
                <w:kern w:val="0"/>
                <w:sz w:val="18"/>
                <w:szCs w:val="18"/>
                <w:u w:val="none"/>
                <w:lang w:val="en-US" w:eastAsia="zh-CN" w:bidi="ar"/>
              </w:rPr>
              <w:t>质</w:t>
            </w:r>
            <w:r>
              <w:rPr>
                <w:rFonts w:ascii="宋体" w:hAnsi="宋体" w:eastAsia="宋体" w:cs="宋体"/>
                <w:i w:val="0"/>
                <w:iCs w:val="0"/>
                <w:color w:val="000000"/>
                <w:kern w:val="0"/>
                <w:sz w:val="18"/>
                <w:szCs w:val="18"/>
                <w:u w:val="none"/>
                <w:lang w:val="en-US" w:eastAsia="zh-CN" w:bidi="ar"/>
              </w:rPr>
              <w:t>灾害、河长制工作经费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在汛期采取积极有效的防御措施，及时收集、汇总、提供雨情、水情等情况，采购日常防汛物资，抓好防汛设备日常维修、应急度汛。</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在汛期采取积极有效的防御措施，及时收集、汇总、提供雨情、水情等情况，采购日常防汛物资，抓好防汛设备日常维修、应急度汛。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汛期值班值守天数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购买防汛物资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值班次数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防汛物资合格率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值班人员在岗率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值班费和差旅费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有效降低洪灾损失率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确保防汛安全，最大限度地减轻水灾害的影响和损失，保障人民生命财产的安全和社会的稳定。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51088922T000004796142-下西乡镇纪委、监察工作经费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保障纪检监察工作正常运行，加大监督力度，营造风清气正的政治生态</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保障纪检监察工作正常运行，加大监督力度，营造风清气正的政治生态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审查案件次数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案件限时办结率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案件办理时限达标率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办案人员被投诉次数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投诉举报处置率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51088922T000004796162-下西农房违建整治工作经费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开展辖区违建房巡查等</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开展辖区违建房巡查等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违法建设检查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整治及时率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违法建设线索受理率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宣传费、劳务费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违法建设拆除率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本项目符合国家产业政策，项目管理有效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51088922T000004796171-下西安全生产监管经费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做好应急管理和安全生产综合监管安委会办公室等日常工作，加强安全执法检查、事故调查</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做好应急管理和安全生产综合监管安委会办公室等日常工作，加强安全执法检查、事故调查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宣传活动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制作资料份数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宣传费、培训费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重大安全生产事故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隐患排查率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本项目符合国家产业政策，项目管理有效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51088922T000004796182-下西公务应急用车经费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保障办事处党政机关公务用车应急需要</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保障办事处党政机关公务用车应急需要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应急用车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车辆正常运行率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应急用车保障率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51088922T000004796198-下西伙食补助费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提高食堂服务水平，为办事处工作顺利开展提供后勤保障</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提高食堂服务水平，为办事处工作顺利开展提供后勤保障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12.24</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12.24</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保障天数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卫生检查合格率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人均标准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工作人员就餐率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餐余垃圾处理率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就餐职工满意度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51088922T000004796215-下西文明城市创建经费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文明城市创建经费</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印制宣传册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设备质量合格率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宣传费、办公费、劳务费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设备利用率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城市形象提升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宣传效果</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51088922T000004796248-下西现代产城融合园攻坚指挥部工作经费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完成指挥部各项工作任务</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完成指挥部各项工作任务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完成招商引资项目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技改入库项目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集中开工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项目建设质量达标率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办公差旅费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招商引资费用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土地出让收入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规上企业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固定资产投资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园区发展影响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8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51088922T000007247072-下西征拆项目资金更正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广元经济技术开发区下西坝办事处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确保辖区各村社2021年青苗款及时支付到位，拆迁项目工作顺利开展</w:t>
            </w:r>
          </w:p>
        </w:tc>
        <w:tc>
          <w:tcPr>
            <w:tcW w:w="33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确保辖区各村社2021年青苗款及时支付到位，拆迁项目工作顺利开展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185.66</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185.66</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拆迁项目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完成拆迁项目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辖区安置人员满意度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1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1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1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18"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spacing w:line="600" w:lineRule="exact"/>
        <w:jc w:val="both"/>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五部分 附表</w:t>
      </w:r>
      <w:bookmarkEnd w:id="58"/>
      <w:bookmarkEnd w:id="59"/>
    </w:p>
    <w:p>
      <w:pPr>
        <w:pStyle w:val="4"/>
        <w:rPr>
          <w:rFonts w:hint="eastAsia" w:ascii="仿宋_GB2312" w:hAnsi="Calibri" w:eastAsia="仿宋_GB2312" w:cs="仿宋"/>
          <w:b w:val="0"/>
          <w:bCs w:val="0"/>
          <w:color w:val="000000"/>
          <w:sz w:val="32"/>
          <w:szCs w:val="32"/>
          <w:lang w:val="en-US" w:eastAsia="zh-CN" w:bidi="ar-SA"/>
        </w:rPr>
      </w:pPr>
      <w:bookmarkStart w:id="61" w:name="_Toc15396619"/>
      <w:r>
        <w:rPr>
          <w:rFonts w:hint="eastAsia" w:ascii="仿宋_GB2312" w:hAnsi="Calibri" w:eastAsia="仿宋_GB2312" w:cs="仿宋"/>
          <w:b w:val="0"/>
          <w:bCs w:val="0"/>
          <w:color w:val="000000"/>
          <w:sz w:val="32"/>
          <w:szCs w:val="32"/>
          <w:lang w:val="en-US" w:eastAsia="zh-CN" w:bidi="ar-SA"/>
        </w:rPr>
        <w:t>一、收入支出决算总表</w:t>
      </w:r>
      <w:bookmarkEnd w:id="61"/>
    </w:p>
    <w:p>
      <w:pPr>
        <w:pStyle w:val="4"/>
        <w:rPr>
          <w:rFonts w:hint="eastAsia" w:ascii="仿宋_GB2312" w:hAnsi="Calibri" w:eastAsia="仿宋_GB2312" w:cs="仿宋"/>
          <w:b w:val="0"/>
          <w:bCs w:val="0"/>
          <w:color w:val="000000"/>
          <w:sz w:val="32"/>
          <w:szCs w:val="32"/>
          <w:lang w:val="en-US" w:eastAsia="zh-CN" w:bidi="ar-SA"/>
        </w:rPr>
      </w:pPr>
      <w:bookmarkStart w:id="62" w:name="_Toc15396620"/>
      <w:r>
        <w:rPr>
          <w:rFonts w:hint="eastAsia" w:ascii="仿宋_GB2312" w:hAnsi="Calibri" w:eastAsia="仿宋_GB2312" w:cs="仿宋"/>
          <w:b w:val="0"/>
          <w:bCs w:val="0"/>
          <w:color w:val="000000"/>
          <w:sz w:val="32"/>
          <w:szCs w:val="32"/>
          <w:lang w:val="en-US" w:eastAsia="zh-CN" w:bidi="ar-SA"/>
        </w:rPr>
        <w:t>二、收入</w:t>
      </w:r>
      <w:bookmarkEnd w:id="62"/>
      <w:r>
        <w:rPr>
          <w:rFonts w:hint="eastAsia" w:ascii="仿宋_GB2312" w:hAnsi="Calibri" w:eastAsia="仿宋_GB2312" w:cs="仿宋"/>
          <w:b w:val="0"/>
          <w:bCs w:val="0"/>
          <w:color w:val="000000"/>
          <w:sz w:val="32"/>
          <w:szCs w:val="32"/>
          <w:lang w:val="en-US" w:eastAsia="zh-CN" w:bidi="ar-SA"/>
        </w:rPr>
        <w:t>决算表</w:t>
      </w:r>
    </w:p>
    <w:p>
      <w:pPr>
        <w:pStyle w:val="4"/>
        <w:rPr>
          <w:rFonts w:hint="eastAsia" w:ascii="仿宋_GB2312" w:hAnsi="Calibri" w:eastAsia="仿宋_GB2312" w:cs="仿宋"/>
          <w:b w:val="0"/>
          <w:bCs w:val="0"/>
          <w:color w:val="000000"/>
          <w:sz w:val="32"/>
          <w:szCs w:val="32"/>
          <w:lang w:val="en-US" w:eastAsia="zh-CN" w:bidi="ar-SA"/>
        </w:rPr>
      </w:pPr>
      <w:bookmarkStart w:id="63" w:name="_Toc15396621"/>
      <w:r>
        <w:rPr>
          <w:rFonts w:hint="eastAsia" w:ascii="仿宋_GB2312" w:hAnsi="Calibri" w:eastAsia="仿宋_GB2312" w:cs="仿宋"/>
          <w:b w:val="0"/>
          <w:bCs w:val="0"/>
          <w:color w:val="000000"/>
          <w:sz w:val="32"/>
          <w:szCs w:val="32"/>
          <w:lang w:val="en-US" w:eastAsia="zh-CN" w:bidi="ar-SA"/>
        </w:rPr>
        <w:t>三、支出决算表</w:t>
      </w:r>
      <w:bookmarkEnd w:id="63"/>
    </w:p>
    <w:p>
      <w:pPr>
        <w:pStyle w:val="4"/>
        <w:rPr>
          <w:rFonts w:hint="eastAsia" w:ascii="仿宋_GB2312" w:hAnsi="Calibri" w:eastAsia="仿宋_GB2312" w:cs="仿宋"/>
          <w:b w:val="0"/>
          <w:bCs w:val="0"/>
          <w:color w:val="000000"/>
          <w:sz w:val="32"/>
          <w:szCs w:val="32"/>
          <w:lang w:val="en-US" w:eastAsia="zh-CN" w:bidi="ar-SA"/>
        </w:rPr>
      </w:pPr>
      <w:bookmarkStart w:id="64" w:name="_Toc15396622"/>
      <w:r>
        <w:rPr>
          <w:rFonts w:hint="eastAsia" w:ascii="仿宋_GB2312" w:hAnsi="Calibri" w:eastAsia="仿宋_GB2312" w:cs="仿宋"/>
          <w:b w:val="0"/>
          <w:bCs w:val="0"/>
          <w:color w:val="000000"/>
          <w:sz w:val="32"/>
          <w:szCs w:val="32"/>
          <w:lang w:val="en-US" w:eastAsia="zh-CN" w:bidi="ar-SA"/>
        </w:rPr>
        <w:t>四、财政拨款收入支出决算总表</w:t>
      </w:r>
      <w:bookmarkEnd w:id="64"/>
    </w:p>
    <w:p>
      <w:pPr>
        <w:pStyle w:val="4"/>
        <w:rPr>
          <w:rFonts w:hint="eastAsia" w:ascii="仿宋_GB2312" w:hAnsi="Calibri" w:eastAsia="仿宋_GB2312" w:cs="仿宋"/>
          <w:b w:val="0"/>
          <w:bCs w:val="0"/>
          <w:color w:val="000000"/>
          <w:sz w:val="32"/>
          <w:szCs w:val="32"/>
          <w:lang w:val="en-US" w:eastAsia="zh-CN" w:bidi="ar-SA"/>
        </w:rPr>
      </w:pPr>
      <w:bookmarkStart w:id="65" w:name="_Toc15396623"/>
      <w:r>
        <w:rPr>
          <w:rFonts w:hint="eastAsia" w:ascii="仿宋_GB2312" w:hAnsi="Calibri" w:eastAsia="仿宋_GB2312" w:cs="仿宋"/>
          <w:b w:val="0"/>
          <w:bCs w:val="0"/>
          <w:color w:val="000000"/>
          <w:sz w:val="32"/>
          <w:szCs w:val="32"/>
          <w:lang w:val="en-US" w:eastAsia="zh-CN" w:bidi="ar-SA"/>
        </w:rPr>
        <w:t>五、财政拨款支出决算明细表</w:t>
      </w:r>
      <w:bookmarkEnd w:id="65"/>
      <w:bookmarkStart w:id="66" w:name="_Toc15396624"/>
    </w:p>
    <w:p>
      <w:pPr>
        <w:pStyle w:val="4"/>
        <w:rPr>
          <w:rFonts w:hint="eastAsia" w:ascii="仿宋_GB2312" w:hAnsi="Calibri" w:eastAsia="仿宋_GB2312" w:cs="仿宋"/>
          <w:b w:val="0"/>
          <w:bCs w:val="0"/>
          <w:color w:val="000000"/>
          <w:sz w:val="32"/>
          <w:szCs w:val="32"/>
          <w:lang w:val="en-US" w:eastAsia="zh-CN" w:bidi="ar-SA"/>
        </w:rPr>
      </w:pPr>
      <w:r>
        <w:rPr>
          <w:rFonts w:hint="eastAsia" w:ascii="仿宋_GB2312" w:hAnsi="Calibri" w:eastAsia="仿宋_GB2312" w:cs="仿宋"/>
          <w:b w:val="0"/>
          <w:bCs w:val="0"/>
          <w:color w:val="000000"/>
          <w:sz w:val="32"/>
          <w:szCs w:val="32"/>
          <w:lang w:val="en-US" w:eastAsia="zh-CN" w:bidi="ar-SA"/>
        </w:rPr>
        <w:t>六、一般公共预算财政拨款支出决算表</w:t>
      </w:r>
      <w:bookmarkEnd w:id="66"/>
    </w:p>
    <w:p>
      <w:pPr>
        <w:pStyle w:val="4"/>
        <w:rPr>
          <w:rFonts w:hint="eastAsia" w:ascii="仿宋_GB2312" w:hAnsi="Calibri" w:eastAsia="仿宋_GB2312" w:cs="仿宋"/>
          <w:b w:val="0"/>
          <w:bCs w:val="0"/>
          <w:color w:val="000000"/>
          <w:sz w:val="32"/>
          <w:szCs w:val="32"/>
          <w:lang w:val="en-US" w:eastAsia="zh-CN" w:bidi="ar-SA"/>
        </w:rPr>
      </w:pPr>
      <w:bookmarkStart w:id="67" w:name="_Toc15396625"/>
      <w:r>
        <w:rPr>
          <w:rFonts w:hint="eastAsia" w:ascii="仿宋_GB2312" w:hAnsi="Calibri" w:eastAsia="仿宋_GB2312" w:cs="仿宋"/>
          <w:b w:val="0"/>
          <w:bCs w:val="0"/>
          <w:color w:val="000000"/>
          <w:sz w:val="32"/>
          <w:szCs w:val="32"/>
          <w:lang w:val="en-US" w:eastAsia="zh-CN" w:bidi="ar-SA"/>
        </w:rPr>
        <w:t>七、一般公共预算财政拨款支出决算明细表</w:t>
      </w:r>
      <w:bookmarkEnd w:id="67"/>
    </w:p>
    <w:p>
      <w:pPr>
        <w:pStyle w:val="4"/>
        <w:rPr>
          <w:rFonts w:hint="eastAsia" w:ascii="仿宋_GB2312" w:hAnsi="Calibri" w:eastAsia="仿宋_GB2312" w:cs="仿宋"/>
          <w:b w:val="0"/>
          <w:bCs w:val="0"/>
          <w:color w:val="000000"/>
          <w:sz w:val="32"/>
          <w:szCs w:val="32"/>
          <w:lang w:val="en-US" w:eastAsia="zh-CN" w:bidi="ar-SA"/>
        </w:rPr>
      </w:pPr>
      <w:bookmarkStart w:id="68" w:name="_Toc15396626"/>
      <w:r>
        <w:rPr>
          <w:rFonts w:hint="eastAsia" w:ascii="仿宋_GB2312" w:hAnsi="Calibri" w:eastAsia="仿宋_GB2312" w:cs="仿宋"/>
          <w:b w:val="0"/>
          <w:bCs w:val="0"/>
          <w:color w:val="000000"/>
          <w:sz w:val="32"/>
          <w:szCs w:val="32"/>
          <w:lang w:val="en-US" w:eastAsia="zh-CN" w:bidi="ar-SA"/>
        </w:rPr>
        <w:t>八、一般公共预算财政拨款基本支出决算明细表</w:t>
      </w:r>
      <w:bookmarkEnd w:id="68"/>
    </w:p>
    <w:p>
      <w:pPr>
        <w:pStyle w:val="4"/>
        <w:rPr>
          <w:rFonts w:hint="eastAsia" w:ascii="仿宋_GB2312" w:hAnsi="Calibri" w:eastAsia="仿宋_GB2312" w:cs="仿宋"/>
          <w:b w:val="0"/>
          <w:bCs w:val="0"/>
          <w:color w:val="000000"/>
          <w:sz w:val="32"/>
          <w:szCs w:val="32"/>
          <w:lang w:val="en-US" w:eastAsia="zh-CN" w:bidi="ar-SA"/>
        </w:rPr>
      </w:pPr>
      <w:bookmarkStart w:id="69" w:name="_Toc15396627"/>
      <w:r>
        <w:rPr>
          <w:rFonts w:hint="eastAsia" w:ascii="仿宋_GB2312" w:hAnsi="Calibri" w:eastAsia="仿宋_GB2312" w:cs="仿宋"/>
          <w:b w:val="0"/>
          <w:bCs w:val="0"/>
          <w:color w:val="000000"/>
          <w:sz w:val="32"/>
          <w:szCs w:val="32"/>
          <w:lang w:val="en-US" w:eastAsia="zh-CN" w:bidi="ar-SA"/>
        </w:rPr>
        <w:t>九、一般公共预算财政拨款项目支出决算表</w:t>
      </w:r>
      <w:bookmarkEnd w:id="69"/>
    </w:p>
    <w:p>
      <w:pPr>
        <w:pStyle w:val="4"/>
        <w:bidi w:val="0"/>
        <w:rPr>
          <w:rFonts w:hint="eastAsia"/>
          <w:lang w:val="en-US" w:eastAsia="zh-CN"/>
        </w:rPr>
      </w:pPr>
      <w:r>
        <w:rPr>
          <w:rFonts w:hint="eastAsia" w:ascii="仿宋_GB2312" w:hAnsi="Calibri" w:eastAsia="仿宋_GB2312" w:cs="仿宋"/>
          <w:b w:val="0"/>
          <w:bCs w:val="0"/>
          <w:color w:val="000000"/>
          <w:kern w:val="2"/>
          <w:sz w:val="32"/>
          <w:szCs w:val="32"/>
          <w:lang w:val="en-US" w:eastAsia="zh-CN" w:bidi="ar-SA"/>
        </w:rPr>
        <w:t>十、政府性基金预算财政拨款收入支出决算表</w:t>
      </w:r>
      <w:r>
        <w:rPr>
          <w:rFonts w:hint="eastAsia" w:ascii="仿宋_GB2312" w:hAnsi="Calibri" w:eastAsia="仿宋_GB2312" w:cs="仿宋"/>
          <w:b w:val="0"/>
          <w:bCs w:val="0"/>
          <w:color w:val="000000"/>
          <w:kern w:val="2"/>
          <w:sz w:val="32"/>
          <w:szCs w:val="32"/>
          <w:lang w:val="en-US" w:eastAsia="zh-CN" w:bidi="ar-SA"/>
        </w:rPr>
        <w:tab/>
      </w:r>
    </w:p>
    <w:p>
      <w:pPr>
        <w:pStyle w:val="4"/>
        <w:bidi w:val="0"/>
        <w:rPr>
          <w:rFonts w:hint="eastAsia" w:ascii="仿宋_GB2312" w:hAnsi="Calibri" w:eastAsia="仿宋_GB2312" w:cs="仿宋"/>
          <w:b w:val="0"/>
          <w:bCs w:val="0"/>
          <w:color w:val="000000"/>
          <w:kern w:val="2"/>
          <w:sz w:val="32"/>
          <w:szCs w:val="32"/>
          <w:lang w:val="en-US" w:eastAsia="zh-CN" w:bidi="ar-SA"/>
        </w:rPr>
      </w:pPr>
      <w:r>
        <w:rPr>
          <w:rFonts w:hint="eastAsia" w:ascii="仿宋_GB2312" w:hAnsi="Calibri" w:eastAsia="仿宋_GB2312" w:cs="仿宋"/>
          <w:b w:val="0"/>
          <w:bCs w:val="0"/>
          <w:color w:val="000000"/>
          <w:kern w:val="2"/>
          <w:sz w:val="32"/>
          <w:szCs w:val="32"/>
          <w:lang w:val="en-US" w:eastAsia="zh-CN" w:bidi="ar-SA"/>
        </w:rPr>
        <w:t>十一、国有资本经营预算财政拨款收入支出决算表</w:t>
      </w:r>
      <w:r>
        <w:rPr>
          <w:rFonts w:hint="eastAsia" w:ascii="仿宋_GB2312" w:hAnsi="Calibri" w:eastAsia="仿宋_GB2312" w:cs="仿宋"/>
          <w:b w:val="0"/>
          <w:bCs w:val="0"/>
          <w:color w:val="000000"/>
          <w:kern w:val="2"/>
          <w:sz w:val="32"/>
          <w:szCs w:val="32"/>
          <w:lang w:val="en-US" w:eastAsia="zh-CN" w:bidi="ar-SA"/>
        </w:rPr>
        <w:tab/>
      </w:r>
    </w:p>
    <w:p>
      <w:pPr>
        <w:pStyle w:val="4"/>
        <w:bidi w:val="0"/>
        <w:rPr>
          <w:rFonts w:hint="eastAsia" w:ascii="仿宋_GB2312" w:hAnsi="Calibri" w:eastAsia="仿宋_GB2312" w:cs="仿宋"/>
          <w:b w:val="0"/>
          <w:bCs w:val="0"/>
          <w:color w:val="000000"/>
          <w:kern w:val="2"/>
          <w:sz w:val="32"/>
          <w:szCs w:val="32"/>
          <w:lang w:val="en-US" w:eastAsia="zh-CN" w:bidi="ar-SA"/>
        </w:rPr>
      </w:pPr>
      <w:r>
        <w:rPr>
          <w:rFonts w:hint="eastAsia" w:ascii="仿宋_GB2312" w:hAnsi="Calibri" w:eastAsia="仿宋_GB2312" w:cs="仿宋"/>
          <w:b w:val="0"/>
          <w:bCs w:val="0"/>
          <w:color w:val="000000"/>
          <w:kern w:val="2"/>
          <w:sz w:val="32"/>
          <w:szCs w:val="32"/>
          <w:lang w:val="en-US" w:eastAsia="zh-CN" w:bidi="ar-SA"/>
        </w:rPr>
        <w:t>十二、国有资本经营预算财政拨款支出决算表</w:t>
      </w:r>
      <w:r>
        <w:rPr>
          <w:rFonts w:hint="eastAsia" w:ascii="仿宋_GB2312" w:hAnsi="Calibri" w:eastAsia="仿宋_GB2312" w:cs="仿宋"/>
          <w:b w:val="0"/>
          <w:bCs w:val="0"/>
          <w:color w:val="000000"/>
          <w:kern w:val="2"/>
          <w:sz w:val="32"/>
          <w:szCs w:val="32"/>
          <w:lang w:val="en-US" w:eastAsia="zh-CN" w:bidi="ar-SA"/>
        </w:rPr>
        <w:tab/>
      </w:r>
    </w:p>
    <w:p>
      <w:pPr>
        <w:pStyle w:val="4"/>
        <w:pageBreakBefore w:val="0"/>
        <w:widowControl w:val="0"/>
        <w:kinsoku/>
        <w:wordWrap/>
        <w:overflowPunct/>
        <w:topLinePunct w:val="0"/>
        <w:autoSpaceDE/>
        <w:autoSpaceDN/>
        <w:bidi w:val="0"/>
        <w:adjustRightInd/>
        <w:snapToGrid/>
        <w:spacing w:line="416" w:lineRule="auto"/>
        <w:textAlignment w:val="auto"/>
        <w:rPr>
          <w:rFonts w:hint="eastAsia" w:ascii="仿宋_GB2312" w:hAnsi="Calibri" w:eastAsia="仿宋_GB2312" w:cs="仿宋"/>
          <w:b w:val="0"/>
          <w:bCs w:val="0"/>
          <w:color w:val="000000"/>
          <w:kern w:val="2"/>
          <w:sz w:val="32"/>
          <w:szCs w:val="32"/>
          <w:lang w:val="en-US" w:eastAsia="zh-CN" w:bidi="ar-SA"/>
        </w:rPr>
      </w:pPr>
    </w:p>
    <w:sectPr>
      <w:headerReference r:id="rId3" w:type="default"/>
      <w:footerReference r:id="rId4" w:type="default"/>
      <w:pgSz w:w="11906" w:h="16838"/>
      <w:pgMar w:top="1440" w:right="1009" w:bottom="1440" w:left="726"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D7D443A"/>
    <w:multiLevelType w:val="singleLevel"/>
    <w:tmpl w:val="DD7D443A"/>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1F20F4"/>
    <w:multiLevelType w:val="singleLevel"/>
    <w:tmpl w:val="FF1F20F4"/>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FAC1C60"/>
    <w:multiLevelType w:val="singleLevel"/>
    <w:tmpl w:val="6FAC1C60"/>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TFiYWVkZjBiYTMxNTliYTkxNDAzYjYwZmQ5NzIifQ=="/>
  </w:docVars>
  <w:rsids>
    <w:rsidRoot w:val="00F1361C"/>
    <w:rsid w:val="00002D94"/>
    <w:rsid w:val="000222C6"/>
    <w:rsid w:val="0002549F"/>
    <w:rsid w:val="0006487A"/>
    <w:rsid w:val="00065F8F"/>
    <w:rsid w:val="000768F2"/>
    <w:rsid w:val="0009184B"/>
    <w:rsid w:val="0009593C"/>
    <w:rsid w:val="000B047F"/>
    <w:rsid w:val="000B5923"/>
    <w:rsid w:val="000B5A48"/>
    <w:rsid w:val="000B5F7D"/>
    <w:rsid w:val="000B6FF3"/>
    <w:rsid w:val="000C1E24"/>
    <w:rsid w:val="000C3467"/>
    <w:rsid w:val="000C3CA6"/>
    <w:rsid w:val="000D1267"/>
    <w:rsid w:val="000D1D50"/>
    <w:rsid w:val="000D5782"/>
    <w:rsid w:val="000E6613"/>
    <w:rsid w:val="000E7119"/>
    <w:rsid w:val="00114E9B"/>
    <w:rsid w:val="0014729F"/>
    <w:rsid w:val="00157BAB"/>
    <w:rsid w:val="001654D1"/>
    <w:rsid w:val="0018106D"/>
    <w:rsid w:val="001877A7"/>
    <w:rsid w:val="001877C7"/>
    <w:rsid w:val="00191536"/>
    <w:rsid w:val="00196687"/>
    <w:rsid w:val="001B180B"/>
    <w:rsid w:val="001C0962"/>
    <w:rsid w:val="001D7531"/>
    <w:rsid w:val="001E737D"/>
    <w:rsid w:val="001F0592"/>
    <w:rsid w:val="001F7506"/>
    <w:rsid w:val="002006CD"/>
    <w:rsid w:val="00200985"/>
    <w:rsid w:val="00202B36"/>
    <w:rsid w:val="00204B7A"/>
    <w:rsid w:val="0021101A"/>
    <w:rsid w:val="00220536"/>
    <w:rsid w:val="00235629"/>
    <w:rsid w:val="00260C38"/>
    <w:rsid w:val="002616C0"/>
    <w:rsid w:val="002662AA"/>
    <w:rsid w:val="002775D7"/>
    <w:rsid w:val="00280496"/>
    <w:rsid w:val="00295495"/>
    <w:rsid w:val="0029694F"/>
    <w:rsid w:val="002B2613"/>
    <w:rsid w:val="002C223B"/>
    <w:rsid w:val="002F1818"/>
    <w:rsid w:val="002F567B"/>
    <w:rsid w:val="003216A9"/>
    <w:rsid w:val="00327CF4"/>
    <w:rsid w:val="00351C25"/>
    <w:rsid w:val="0037013F"/>
    <w:rsid w:val="00380C92"/>
    <w:rsid w:val="003A484F"/>
    <w:rsid w:val="003B0BE0"/>
    <w:rsid w:val="003B0C1B"/>
    <w:rsid w:val="003B688C"/>
    <w:rsid w:val="003C0291"/>
    <w:rsid w:val="003C39AE"/>
    <w:rsid w:val="003C7B60"/>
    <w:rsid w:val="003D09A6"/>
    <w:rsid w:val="003D1FB2"/>
    <w:rsid w:val="003D66DA"/>
    <w:rsid w:val="003E1310"/>
    <w:rsid w:val="003E6F55"/>
    <w:rsid w:val="00406254"/>
    <w:rsid w:val="004223DE"/>
    <w:rsid w:val="00432770"/>
    <w:rsid w:val="00434489"/>
    <w:rsid w:val="00437085"/>
    <w:rsid w:val="00443880"/>
    <w:rsid w:val="004464F4"/>
    <w:rsid w:val="00471401"/>
    <w:rsid w:val="00473F31"/>
    <w:rsid w:val="0048263A"/>
    <w:rsid w:val="00487E5D"/>
    <w:rsid w:val="004A4715"/>
    <w:rsid w:val="004A711F"/>
    <w:rsid w:val="004B199D"/>
    <w:rsid w:val="004B4690"/>
    <w:rsid w:val="004E0A2D"/>
    <w:rsid w:val="004E206B"/>
    <w:rsid w:val="004E6DF7"/>
    <w:rsid w:val="004F0FBD"/>
    <w:rsid w:val="00505A47"/>
    <w:rsid w:val="00512FDA"/>
    <w:rsid w:val="00520DA0"/>
    <w:rsid w:val="0056379C"/>
    <w:rsid w:val="005664BB"/>
    <w:rsid w:val="0057481D"/>
    <w:rsid w:val="0058486E"/>
    <w:rsid w:val="005D1C8B"/>
    <w:rsid w:val="005D5CED"/>
    <w:rsid w:val="005E00DD"/>
    <w:rsid w:val="005E29A6"/>
    <w:rsid w:val="005F1A4C"/>
    <w:rsid w:val="00605688"/>
    <w:rsid w:val="006070AF"/>
    <w:rsid w:val="00607E6C"/>
    <w:rsid w:val="006101B1"/>
    <w:rsid w:val="00614E44"/>
    <w:rsid w:val="00616643"/>
    <w:rsid w:val="00622830"/>
    <w:rsid w:val="00630AEF"/>
    <w:rsid w:val="006325F8"/>
    <w:rsid w:val="00634C9A"/>
    <w:rsid w:val="006440E4"/>
    <w:rsid w:val="0066343B"/>
    <w:rsid w:val="00664777"/>
    <w:rsid w:val="006748A4"/>
    <w:rsid w:val="00683E73"/>
    <w:rsid w:val="00687188"/>
    <w:rsid w:val="006A3141"/>
    <w:rsid w:val="006A5E34"/>
    <w:rsid w:val="006B2422"/>
    <w:rsid w:val="006B2B9A"/>
    <w:rsid w:val="006C1937"/>
    <w:rsid w:val="006F020C"/>
    <w:rsid w:val="007036D6"/>
    <w:rsid w:val="007127B7"/>
    <w:rsid w:val="007416B6"/>
    <w:rsid w:val="00746F48"/>
    <w:rsid w:val="0075404D"/>
    <w:rsid w:val="0076182A"/>
    <w:rsid w:val="00767B7E"/>
    <w:rsid w:val="007770C3"/>
    <w:rsid w:val="00784D24"/>
    <w:rsid w:val="00785FBA"/>
    <w:rsid w:val="00786E4A"/>
    <w:rsid w:val="007875EB"/>
    <w:rsid w:val="0079426B"/>
    <w:rsid w:val="007D312A"/>
    <w:rsid w:val="007D3ACA"/>
    <w:rsid w:val="007D3F19"/>
    <w:rsid w:val="007E23B0"/>
    <w:rsid w:val="007F1991"/>
    <w:rsid w:val="007F2C2F"/>
    <w:rsid w:val="007F3B10"/>
    <w:rsid w:val="007F55FC"/>
    <w:rsid w:val="007F5665"/>
    <w:rsid w:val="00800112"/>
    <w:rsid w:val="008253BB"/>
    <w:rsid w:val="0083706E"/>
    <w:rsid w:val="008423A5"/>
    <w:rsid w:val="00850625"/>
    <w:rsid w:val="00853718"/>
    <w:rsid w:val="00855221"/>
    <w:rsid w:val="00860645"/>
    <w:rsid w:val="00871F71"/>
    <w:rsid w:val="00885AF4"/>
    <w:rsid w:val="008939CD"/>
    <w:rsid w:val="00895C37"/>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1F16"/>
    <w:rsid w:val="009C22F4"/>
    <w:rsid w:val="009C2E98"/>
    <w:rsid w:val="009D0526"/>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174FE"/>
    <w:rsid w:val="00B2048C"/>
    <w:rsid w:val="00B310B9"/>
    <w:rsid w:val="00B33A14"/>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720A"/>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39EF"/>
    <w:rsid w:val="00CE44F6"/>
    <w:rsid w:val="00CE49DA"/>
    <w:rsid w:val="00CE7B61"/>
    <w:rsid w:val="00D00095"/>
    <w:rsid w:val="00D20620"/>
    <w:rsid w:val="00D26091"/>
    <w:rsid w:val="00D32CAD"/>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605A"/>
    <w:rsid w:val="00E17354"/>
    <w:rsid w:val="00E21A8F"/>
    <w:rsid w:val="00E331A1"/>
    <w:rsid w:val="00E33202"/>
    <w:rsid w:val="00E336A9"/>
    <w:rsid w:val="00E50624"/>
    <w:rsid w:val="00E568DF"/>
    <w:rsid w:val="00E64269"/>
    <w:rsid w:val="00E82267"/>
    <w:rsid w:val="00E9294F"/>
    <w:rsid w:val="00EA010F"/>
    <w:rsid w:val="00ED1B63"/>
    <w:rsid w:val="00ED3C1F"/>
    <w:rsid w:val="00ED4085"/>
    <w:rsid w:val="00ED420E"/>
    <w:rsid w:val="00ED598C"/>
    <w:rsid w:val="00EE2F57"/>
    <w:rsid w:val="00EF4C34"/>
    <w:rsid w:val="00EF77C6"/>
    <w:rsid w:val="00F05438"/>
    <w:rsid w:val="00F1361C"/>
    <w:rsid w:val="00F160C7"/>
    <w:rsid w:val="00F36D8F"/>
    <w:rsid w:val="00F417B1"/>
    <w:rsid w:val="00F602DF"/>
    <w:rsid w:val="00F80799"/>
    <w:rsid w:val="00F81FD9"/>
    <w:rsid w:val="00F841AA"/>
    <w:rsid w:val="00F97374"/>
    <w:rsid w:val="00FA23E8"/>
    <w:rsid w:val="00FD2BB1"/>
    <w:rsid w:val="00FD3CC1"/>
    <w:rsid w:val="00FF1E02"/>
    <w:rsid w:val="00FF30B4"/>
    <w:rsid w:val="08F432B7"/>
    <w:rsid w:val="0B1A346B"/>
    <w:rsid w:val="10C055FF"/>
    <w:rsid w:val="13737F6D"/>
    <w:rsid w:val="1598181E"/>
    <w:rsid w:val="16BB723D"/>
    <w:rsid w:val="17780248"/>
    <w:rsid w:val="18EA3716"/>
    <w:rsid w:val="19936A07"/>
    <w:rsid w:val="1998697F"/>
    <w:rsid w:val="1C153F9E"/>
    <w:rsid w:val="1EAE5F51"/>
    <w:rsid w:val="20535245"/>
    <w:rsid w:val="240371BF"/>
    <w:rsid w:val="26463588"/>
    <w:rsid w:val="29743F15"/>
    <w:rsid w:val="29FD04D3"/>
    <w:rsid w:val="2AAE247C"/>
    <w:rsid w:val="319F7F4E"/>
    <w:rsid w:val="358C5373"/>
    <w:rsid w:val="377708F0"/>
    <w:rsid w:val="3B4756B8"/>
    <w:rsid w:val="3F6820A1"/>
    <w:rsid w:val="439E7EFB"/>
    <w:rsid w:val="4E672235"/>
    <w:rsid w:val="4F1137DA"/>
    <w:rsid w:val="58AF089B"/>
    <w:rsid w:val="5E482CCE"/>
    <w:rsid w:val="61AD6509"/>
    <w:rsid w:val="63393B23"/>
    <w:rsid w:val="6B793B12"/>
    <w:rsid w:val="6D7904B3"/>
    <w:rsid w:val="6F6D499B"/>
    <w:rsid w:val="74231647"/>
    <w:rsid w:val="74744A68"/>
    <w:rsid w:val="76655B13"/>
    <w:rsid w:val="7B477E98"/>
    <w:rsid w:val="D9E73D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next w:val="7"/>
    <w:link w:val="26"/>
    <w:qFormat/>
    <w:uiPriority w:val="99"/>
    <w:pPr>
      <w:spacing w:beforeLines="30"/>
    </w:pPr>
    <w:rPr>
      <w:rFonts w:ascii="仿宋_GB2312" w:eastAsia="仿宋_GB2312"/>
      <w:kern w:val="0"/>
      <w:sz w:val="30"/>
    </w:rPr>
  </w:style>
  <w:style w:type="paragraph" w:styleId="7">
    <w:name w:val="Plain Text"/>
    <w:basedOn w:val="1"/>
    <w:qFormat/>
    <w:uiPriority w:val="99"/>
    <w:rPr>
      <w:rFonts w:ascii="宋体" w:hAnsi="Courier New" w:cs="宋体"/>
    </w:rPr>
  </w:style>
  <w:style w:type="paragraph" w:styleId="8">
    <w:name w:val="Body Text Indent"/>
    <w:basedOn w:val="1"/>
    <w:qFormat/>
    <w:uiPriority w:val="0"/>
    <w:pPr>
      <w:spacing w:after="120" w:afterLines="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able of figures"/>
    <w:basedOn w:val="1"/>
    <w:next w:val="1"/>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p0"/>
    <w:basedOn w:val="1"/>
    <w:qFormat/>
    <w:uiPriority w:val="99"/>
    <w:pPr>
      <w:widowControl/>
    </w:pPr>
    <w:rPr>
      <w:kern w:val="0"/>
      <w:szCs w:val="21"/>
    </w:rPr>
  </w:style>
  <w:style w:type="character" w:customStyle="1" w:styleId="35">
    <w:name w:val="NormalCharacter"/>
    <w:semiHidden/>
    <w:qFormat/>
    <w:uiPriority w:val="0"/>
    <w:rPr>
      <w:rFonts w:ascii="Times New Roman" w:hAnsi="Times New Roman" w:eastAsia="宋体" w:cs="Times New Roman"/>
      <w:kern w:val="2"/>
      <w:sz w:val="21"/>
      <w:lang w:val="en-US" w:eastAsia="zh-CN" w:bidi="ar-SA"/>
    </w:rPr>
  </w:style>
  <w:style w:type="paragraph" w:customStyle="1" w:styleId="36">
    <w:name w:val="Plain Text1"/>
    <w:basedOn w:val="1"/>
    <w:qFormat/>
    <w:uiPriority w:val="0"/>
    <w:rPr>
      <w:rFonts w:ascii="宋体" w:hAnsi="Courier New" w:cs="Courier New"/>
      <w:szCs w:val="21"/>
    </w:rPr>
  </w:style>
  <w:style w:type="paragraph" w:customStyle="1" w:styleId="37">
    <w:name w:val="Body text|1"/>
    <w:basedOn w:val="1"/>
    <w:qFormat/>
    <w:uiPriority w:val="0"/>
    <w:pPr>
      <w:spacing w:line="403" w:lineRule="auto"/>
      <w:ind w:firstLine="400"/>
    </w:pPr>
    <w:rPr>
      <w:rFonts w:ascii="宋体" w:hAnsi="宋体" w:eastAsia="宋体" w:cs="宋体"/>
      <w:sz w:val="30"/>
      <w:szCs w:val="30"/>
      <w:lang w:val="zh-TW" w:eastAsia="zh-TW" w:bidi="zh-TW"/>
    </w:rPr>
  </w:style>
  <w:style w:type="character" w:customStyle="1" w:styleId="38">
    <w:name w:val="font31"/>
    <w:basedOn w:val="18"/>
    <w:qFormat/>
    <w:uiPriority w:val="0"/>
    <w:rPr>
      <w:rFonts w:hint="eastAsia" w:ascii="宋体" w:hAnsi="宋体" w:eastAsia="宋体" w:cs="宋体"/>
      <w:color w:val="000000"/>
      <w:sz w:val="16"/>
      <w:szCs w:val="16"/>
      <w:u w:val="none"/>
    </w:rPr>
  </w:style>
  <w:style w:type="character" w:customStyle="1" w:styleId="39">
    <w:name w:val="font61"/>
    <w:basedOn w:val="18"/>
    <w:qFormat/>
    <w:uiPriority w:val="0"/>
    <w:rPr>
      <w:rFonts w:hint="eastAsia" w:ascii="宋体" w:hAnsi="宋体" w:eastAsia="宋体" w:cs="宋体"/>
      <w:color w:val="000000"/>
      <w:sz w:val="17"/>
      <w:szCs w:val="17"/>
      <w:u w:val="none"/>
    </w:rPr>
  </w:style>
  <w:style w:type="character" w:customStyle="1" w:styleId="40">
    <w:name w:val="font81"/>
    <w:basedOn w:val="18"/>
    <w:qFormat/>
    <w:uiPriority w:val="0"/>
    <w:rPr>
      <w:rFonts w:hint="eastAsia" w:ascii="宋体" w:hAnsi="宋体" w:eastAsia="宋体" w:cs="宋体"/>
      <w:color w:val="000000"/>
      <w:sz w:val="20"/>
      <w:szCs w:val="20"/>
      <w:u w:val="none"/>
    </w:rPr>
  </w:style>
  <w:style w:type="paragraph" w:customStyle="1" w:styleId="41">
    <w:name w:val="四号正文"/>
    <w:basedOn w:val="1"/>
    <w:qFormat/>
    <w:uiPriority w:val="0"/>
    <w:pPr>
      <w:spacing w:line="360" w:lineRule="auto"/>
    </w:pPr>
    <w:rPr>
      <w:rFonts w:ascii="??" w:hAnsi="??"/>
      <w:color w:val="000000"/>
      <w:kern w:val="0"/>
      <w:sz w:val="28"/>
      <w:szCs w:val="21"/>
      <w:lang w:val="zh-CN"/>
    </w:rPr>
  </w:style>
  <w:style w:type="character" w:customStyle="1" w:styleId="42">
    <w:name w:val="font51"/>
    <w:basedOn w:val="18"/>
    <w:qFormat/>
    <w:uiPriority w:val="0"/>
    <w:rPr>
      <w:rFonts w:hint="eastAsia" w:ascii="宋体" w:hAnsi="宋体" w:eastAsia="宋体" w:cs="宋体"/>
      <w:color w:val="000000"/>
      <w:sz w:val="18"/>
      <w:szCs w:val="18"/>
      <w:u w:val="none"/>
    </w:rPr>
  </w:style>
  <w:style w:type="character" w:customStyle="1" w:styleId="43">
    <w:name w:val="font21"/>
    <w:basedOn w:val="18"/>
    <w:qFormat/>
    <w:uiPriority w:val="0"/>
    <w:rPr>
      <w:rFonts w:ascii="宋体" w:hAnsi="宋体" w:eastAsia="宋体" w:cs="宋体"/>
      <w:color w:val="000000"/>
      <w:sz w:val="18"/>
      <w:szCs w:val="18"/>
      <w:u w:val="none"/>
    </w:rPr>
  </w:style>
  <w:style w:type="character" w:customStyle="1" w:styleId="44">
    <w:name w:val="font9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352504150470008"/>
          <c:y val="0.00613873542050338"/>
        </c:manualLayout>
      </c:layout>
      <c:overlay val="false"/>
      <c:spPr>
        <a:noFill/>
        <a:ln>
          <a:noFill/>
        </a:ln>
        <a:effectLst/>
      </c:spPr>
    </c:title>
    <c:autoTitleDeleted val="false"/>
    <c:plotArea>
      <c:layout>
        <c:manualLayout>
          <c:layoutTarget val="inner"/>
          <c:xMode val="edge"/>
          <c:yMode val="edge"/>
          <c:x val="0.112344148608061"/>
          <c:y val="0.0701520388112705"/>
          <c:w val="0.883608360836084"/>
          <c:h val="0.845215262191389"/>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
                  <c:y val="0.0027594629496528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2015.47</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6581411361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1362.48</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2021年收支决算总计</c:v>
                </c:pt>
                <c:pt idx="1">
                  <c:v>2022年收支决算总计</c:v>
                </c:pt>
              </c:strCache>
            </c:strRef>
          </c:cat>
          <c:val>
            <c:numRef>
              <c:f>Sheet1!$B$2:$B$3</c:f>
              <c:numCache>
                <c:formatCode>General</c:formatCode>
                <c:ptCount val="2"/>
                <c:pt idx="0">
                  <c:v>2015.47</c:v>
                </c:pt>
                <c:pt idx="1">
                  <c:v>1362.48</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72908796546141"/>
          <c:y val="0.99442482809886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2022年本年收入（万元）</a:t>
            </a:r>
          </a:p>
        </c:rich>
      </c:tx>
      <c:layout>
        <c:manualLayout>
          <c:xMode val="edge"/>
          <c:yMode val="edge"/>
          <c:x val="0.243049747989043"/>
          <c:y val="0.00780843310775638"/>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2022年本年收入（万元）</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Lbls>
            <c:dLbl>
              <c:idx val="0"/>
              <c:layout>
                <c:manualLayout>
                  <c:x val="0.107228937495722"/>
                  <c:y val="-0.00181206422700697"/>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664050829773668"/>
                  <c:y val="0.065332534134703"/>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国有资本经营预算财政拨款收入</c:v>
                </c:pt>
                <c:pt idx="2">
                  <c:v>政府性基金预算财政拨款收入</c:v>
                </c:pt>
              </c:strCache>
            </c:strRef>
          </c:cat>
          <c:val>
            <c:numRef>
              <c:f>Sheet1!$B$2:$B$4</c:f>
              <c:numCache>
                <c:formatCode>General</c:formatCode>
                <c:ptCount val="3"/>
                <c:pt idx="0">
                  <c:v>1106.48</c:v>
                </c:pt>
                <c:pt idx="1">
                  <c:v>235.66</c:v>
                </c:pt>
                <c:pt idx="2" c:formatCode="#,##0.00">
                  <c:v>20.34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2022年本年支出（万元）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2021年本年支出（万元）</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dLbl>
              <c:idx val="0"/>
              <c:layout>
                <c:manualLayout>
                  <c:x val="0.0868469733470184"/>
                  <c:y val="0.139903534548511"/>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32%</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manualLayout>
                  <c:x val="-0.0628298347738191"/>
                  <c:y val="-0.0845157952444178"/>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68%</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430.89</c:v>
                </c:pt>
                <c:pt idx="1">
                  <c:v>931.59</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财政拨款收支决算总计（万元）</a:t>
            </a:r>
          </a:p>
        </c:rich>
      </c:tx>
      <c:layout/>
      <c:overlay val="false"/>
      <c:spPr>
        <a:noFill/>
        <a:ln>
          <a:noFill/>
        </a:ln>
        <a:effectLst/>
      </c:spPr>
    </c:title>
    <c:autoTitleDeleted val="false"/>
    <c:plotArea>
      <c:layout>
        <c:manualLayout>
          <c:layoutTarget val="inner"/>
          <c:xMode val="edge"/>
          <c:yMode val="edge"/>
          <c:x val="0.0661336216002112"/>
          <c:y val="0.123911659192825"/>
          <c:w val="0.927925"/>
          <c:h val="0.716566666666667"/>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00356482703987325"/>
                  <c:y val="0.0156284885018977"/>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87541862022773"/>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2021年收支决算总计</c:v>
                </c:pt>
                <c:pt idx="1">
                  <c:v>2022年收支决算总计</c:v>
                </c:pt>
              </c:strCache>
            </c:strRef>
          </c:cat>
          <c:val>
            <c:numRef>
              <c:f>Sheet1!$B$2:$B$3</c:f>
              <c:numCache>
                <c:formatCode>General</c:formatCode>
                <c:ptCount val="2"/>
                <c:pt idx="0">
                  <c:v>2015.47</c:v>
                </c:pt>
                <c:pt idx="1">
                  <c:v>1362.48</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173564948401392"/>
          <c:y val="0.0111669458403127"/>
        </c:manualLayout>
      </c:layout>
      <c:overlay val="false"/>
      <c:spPr>
        <a:noFill/>
        <a:ln>
          <a:noFill/>
        </a:ln>
        <a:effectLst/>
      </c:spPr>
    </c:title>
    <c:autoTitleDeleted val="false"/>
    <c:plotArea>
      <c:layout>
        <c:manualLayout>
          <c:layoutTarget val="inner"/>
          <c:xMode val="edge"/>
          <c:yMode val="edge"/>
          <c:x val="0.110583722881458"/>
          <c:y val="0.120196832430658"/>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2021年一般公共预算财政拨款支出</c:v>
                </c:pt>
                <c:pt idx="1">
                  <c:v>2022年一般公共预算财政拨款支出</c:v>
                </c:pt>
              </c:strCache>
            </c:strRef>
          </c:cat>
          <c:val>
            <c:numRef>
              <c:f>Sheet1!$B$2:$B$3</c:f>
              <c:numCache>
                <c:formatCode>#,##0.00</c:formatCode>
                <c:ptCount val="2"/>
                <c:pt idx="0">
                  <c:v>2015.47</c:v>
                </c:pt>
                <c:pt idx="1">
                  <c:v>1106.48</c:v>
                </c:pt>
              </c:numCache>
            </c:numRef>
          </c:val>
        </c:ser>
        <c:dLbls>
          <c:showLegendKey val="false"/>
          <c:showVal val="false"/>
          <c:showCatName val="false"/>
          <c:showSerName val="false"/>
          <c:showPercent val="false"/>
          <c:showBubbleSize val="false"/>
        </c:dLbls>
        <c:gapWidth val="219"/>
        <c:overlap val="-27"/>
        <c:axId val="912273967"/>
        <c:axId val="923336258"/>
      </c:barChart>
      <c:catAx>
        <c:axId val="912273967"/>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true"/>
        <c:lblAlgn val="ctr"/>
        <c:lblOffset val="100"/>
        <c:noMultiLvlLbl val="false"/>
      </c:catAx>
      <c:valAx>
        <c:axId val="92333625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manualLayout>
          <c:xMode val="edge"/>
          <c:yMode val="edge"/>
          <c:x val="0.307413454029727"/>
          <c:y val="0.00719079578139981"/>
        </c:manualLayout>
      </c:layout>
      <c:overlay val="false"/>
      <c:spPr>
        <a:noFill/>
        <a:ln>
          <a:noFill/>
        </a:ln>
        <a:effectLst/>
      </c:spPr>
    </c:title>
    <c:autoTitleDeleted val="false"/>
    <c:plotArea>
      <c:layout/>
      <c:pieChart>
        <c:varyColors val="true"/>
        <c:ser>
          <c:idx val="0"/>
          <c:order val="0"/>
          <c:tx>
            <c:strRef>
              <c:f>Sheet1!$B$1</c:f>
              <c:strCache>
                <c:ptCount val="1"/>
                <c:pt idx="0">
                  <c:v>一般公共预算财政拨款支出</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Pt>
            <c:idx val="5"/>
            <c:bubble3D val="false"/>
            <c:spPr>
              <a:solidFill>
                <a:schemeClr val="accent6"/>
              </a:solidFill>
              <a:ln>
                <a:solidFill>
                  <a:schemeClr val="bg1"/>
                </a:solidFill>
              </a:ln>
              <a:effectLst/>
            </c:spPr>
          </c:dPt>
          <c:dPt>
            <c:idx val="6"/>
            <c:bubble3D val="false"/>
            <c:spPr>
              <a:solidFill>
                <a:schemeClr val="accent1">
                  <a:lumMod val="60000"/>
                </a:schemeClr>
              </a:solidFill>
              <a:ln>
                <a:solidFill>
                  <a:schemeClr val="bg1"/>
                </a:solidFill>
              </a:ln>
              <a:effectLst/>
            </c:spPr>
          </c:dPt>
          <c:dPt>
            <c:idx val="7"/>
            <c:bubble3D val="false"/>
            <c:spPr>
              <a:solidFill>
                <a:schemeClr val="accent2">
                  <a:lumMod val="60000"/>
                </a:schemeClr>
              </a:solidFill>
              <a:ln>
                <a:solidFill>
                  <a:schemeClr val="bg1"/>
                </a:solidFill>
              </a:ln>
              <a:effectLst/>
            </c:spPr>
          </c:dPt>
          <c:dPt>
            <c:idx val="8"/>
            <c:bubble3D val="false"/>
            <c:spPr>
              <a:solidFill>
                <a:schemeClr val="accent3">
                  <a:lumMod val="60000"/>
                </a:schemeClr>
              </a:solidFill>
              <a:ln>
                <a:solidFill>
                  <a:schemeClr val="bg1"/>
                </a:solidFill>
              </a:ln>
              <a:effectLst/>
            </c:spPr>
          </c:dPt>
          <c:dLbls>
            <c:dLbl>
              <c:idx val="0"/>
              <c:layout>
                <c:manualLayout>
                  <c:x val="0.0355807738333971"/>
                  <c:y val="-0.014191345591393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38%</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manualLayout>
                  <c:x val="0.0308432952234129"/>
                  <c:y val="-0.0266121081506808"/>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2%</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2"/>
              <c:layout>
                <c:manualLayout>
                  <c:x val="-0.0198074728245198"/>
                  <c:y val="0.021666818673934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4%</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3"/>
              <c:layout>
                <c:manualLayout>
                  <c:x val="-0.0373388315015339"/>
                  <c:y val="0.0117341171296914"/>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2%</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4"/>
              <c:layout>
                <c:manualLayout>
                  <c:x val="-0.12261095462845"/>
                  <c:y val="-0.00931330933753677"/>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1%</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5"/>
              <c:layout>
                <c:manualLayout>
                  <c:x val="-0.0708068954604059"/>
                  <c:y val="0.0178741994968011"/>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49%</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6"/>
              <c:layout>
                <c:manualLayout>
                  <c:x val="0.101695304445992"/>
                  <c:y val="0.0069611779374770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1%</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7"/>
              <c:layout>
                <c:manualLayout>
                  <c:x val="-0.193314215574782"/>
                  <c:y val="0.052493455606262"/>
                </c:manualLayout>
              </c:layout>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8"/>
              <c:layout>
                <c:manualLayout>
                  <c:x val="0.212358418852155"/>
                  <c:y val="0.0486545961564335"/>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lumMod val="75000"/>
                            <a:lumOff val="25000"/>
                          </a:schemeClr>
                        </a:solidFill>
                        <a:latin typeface="+mn-lt"/>
                        <a:ea typeface="+mn-ea"/>
                        <a:cs typeface="+mn-cs"/>
                      </a:defRPr>
                    </a:pPr>
                    <a:r>
                      <a:t> 0%</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公共安全支出</c:v>
                </c:pt>
                <c:pt idx="2">
                  <c:v>社会保障和就业支出</c:v>
                </c:pt>
                <c:pt idx="3">
                  <c:v>卫生健康支出</c:v>
                </c:pt>
                <c:pt idx="4">
                  <c:v>城乡社区支出</c:v>
                </c:pt>
                <c:pt idx="5">
                  <c:v>农林水支出</c:v>
                </c:pt>
                <c:pt idx="6">
                  <c:v>交通运输</c:v>
                </c:pt>
                <c:pt idx="7">
                  <c:v>住房保障支出</c:v>
                </c:pt>
                <c:pt idx="8">
                  <c:v>灾害防治及应急管理支出</c:v>
                </c:pt>
              </c:strCache>
            </c:strRef>
          </c:cat>
          <c:val>
            <c:numRef>
              <c:f>Sheet1!$B$2:$B$10</c:f>
              <c:numCache>
                <c:formatCode>General</c:formatCode>
                <c:ptCount val="9"/>
                <c:pt idx="0">
                  <c:v>425.94</c:v>
                </c:pt>
                <c:pt idx="1">
                  <c:v>17</c:v>
                </c:pt>
                <c:pt idx="2">
                  <c:v>48.34</c:v>
                </c:pt>
                <c:pt idx="3">
                  <c:v>17.25</c:v>
                </c:pt>
                <c:pt idx="4">
                  <c:v>6</c:v>
                </c:pt>
                <c:pt idx="5">
                  <c:v>543.17</c:v>
                </c:pt>
                <c:pt idx="6">
                  <c:v>11</c:v>
                </c:pt>
                <c:pt idx="7">
                  <c:v>33.78</c:v>
                </c:pt>
                <c:pt idx="8">
                  <c:v>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0883161512027491"/>
          <c:y val="0.845021916092674"/>
          <c:w val="0.775143184421535"/>
          <c:h val="0.13744520976831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9037</Words>
  <Characters>9958</Characters>
  <Lines>81</Lines>
  <Paragraphs>22</Paragraphs>
  <TotalTime>13</TotalTime>
  <ScaleCrop>false</ScaleCrop>
  <LinksUpToDate>false</LinksUpToDate>
  <CharactersWithSpaces>10012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2021-09-07T20:04:00Z</dcterms:created>
  <dc:creator>张彬茜</dc:creator>
  <cp:lastModifiedBy>user</cp:lastModifiedBy>
  <cp:lastPrinted>2022-09-28T18:22:00Z</cp:lastPrinted>
  <dcterms:modified xsi:type="dcterms:W3CDTF">2025-02-17T09:12:35Z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52CC90DE5BC7452093F52B80F37FC075</vt:lpwstr>
  </property>
</Properties>
</file>