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Theme="majorEastAsia" w:hAnsiTheme="majorEastAsia" w:eastAsiaTheme="majorEastAsia" w:cstheme="majorEastAsia"/>
          <w:b/>
          <w:bCs/>
          <w:sz w:val="48"/>
          <w:szCs w:val="48"/>
        </w:rPr>
      </w:pPr>
      <w:bookmarkStart w:id="1" w:name="_Toc15378441"/>
      <w:bookmarkStart w:id="2" w:name="_Toc15377193"/>
      <w:bookmarkStart w:id="3" w:name="_Toc15396597"/>
      <w:bookmarkStart w:id="4" w:name="_Toc1120184719"/>
      <w:bookmarkStart w:id="5" w:name="_Toc15377425"/>
      <w:bookmarkStart w:id="6" w:name="_Toc273923975"/>
      <w:bookmarkStart w:id="7" w:name="_Toc1484975518"/>
      <w:bookmarkStart w:id="8" w:name="_Toc348711106"/>
      <w:bookmarkStart w:id="9" w:name="_Toc558500586"/>
      <w:bookmarkStart w:id="10" w:name="_Toc15396475"/>
      <w:r>
        <w:rPr>
          <w:rFonts w:hint="eastAsia" w:asciiTheme="majorEastAsia" w:hAnsiTheme="majorEastAsia" w:eastAsiaTheme="majorEastAsia" w:cstheme="majorEastAsia"/>
          <w:b/>
          <w:bCs/>
          <w:sz w:val="48"/>
          <w:szCs w:val="48"/>
        </w:rPr>
        <w:t>202</w:t>
      </w:r>
      <w:r>
        <w:rPr>
          <w:rFonts w:hint="eastAsia" w:asciiTheme="majorEastAsia" w:hAnsiTheme="majorEastAsia" w:eastAsiaTheme="majorEastAsia" w:cstheme="majorEastAsia"/>
          <w:b/>
          <w:bCs/>
          <w:sz w:val="48"/>
          <w:szCs w:val="48"/>
          <w:lang w:val="en-US" w:eastAsia="zh-CN"/>
        </w:rPr>
        <w:t>2</w:t>
      </w:r>
      <w:r>
        <w:rPr>
          <w:rFonts w:hint="eastAsia" w:asciiTheme="majorEastAsia" w:hAnsiTheme="majorEastAsia" w:eastAsiaTheme="majorEastAsia" w:cstheme="majorEastAsia"/>
          <w:b/>
          <w:bCs/>
          <w:sz w:val="48"/>
          <w:szCs w:val="48"/>
        </w:rPr>
        <w:t>年度</w:t>
      </w:r>
      <w:bookmarkEnd w:id="1"/>
      <w:bookmarkEnd w:id="2"/>
      <w:bookmarkEnd w:id="3"/>
      <w:bookmarkEnd w:id="4"/>
      <w:bookmarkEnd w:id="5"/>
      <w:bookmarkEnd w:id="6"/>
      <w:bookmarkEnd w:id="7"/>
      <w:bookmarkEnd w:id="8"/>
      <w:bookmarkEnd w:id="9"/>
      <w:bookmarkEnd w:id="10"/>
    </w:p>
    <w:p>
      <w:pPr>
        <w:adjustRightInd w:val="0"/>
        <w:snapToGrid w:val="0"/>
        <w:spacing w:line="360" w:lineRule="auto"/>
        <w:jc w:val="center"/>
        <w:outlineLvl w:val="0"/>
        <w:rPr>
          <w:rFonts w:hint="eastAsia" w:asciiTheme="majorEastAsia" w:hAnsiTheme="majorEastAsia" w:eastAsiaTheme="majorEastAsia" w:cstheme="majorEastAsia"/>
          <w:b/>
          <w:bCs/>
          <w:sz w:val="48"/>
          <w:szCs w:val="48"/>
        </w:rPr>
      </w:pPr>
      <w:bookmarkStart w:id="11" w:name="_Toc15378442"/>
      <w:bookmarkStart w:id="12" w:name="_Toc15396598"/>
      <w:bookmarkStart w:id="13" w:name="_Toc15377426"/>
      <w:bookmarkStart w:id="14" w:name="_Toc15377194"/>
      <w:bookmarkStart w:id="15" w:name="_Toc738227424"/>
      <w:bookmarkStart w:id="16" w:name="_Toc516606137"/>
      <w:bookmarkStart w:id="17" w:name="_Toc1124047023"/>
      <w:bookmarkStart w:id="18" w:name="_Toc15396476"/>
      <w:bookmarkStart w:id="19" w:name="_Toc71847589"/>
      <w:bookmarkStart w:id="20" w:name="_Toc308085830"/>
      <w:r>
        <w:rPr>
          <w:rFonts w:hint="eastAsia" w:asciiTheme="majorEastAsia" w:hAnsiTheme="majorEastAsia" w:eastAsiaTheme="majorEastAsia" w:cstheme="majorEastAsia"/>
          <w:b/>
          <w:bCs/>
          <w:sz w:val="48"/>
          <w:szCs w:val="48"/>
        </w:rPr>
        <w:t>广元</w:t>
      </w:r>
      <w:bookmarkEnd w:id="0"/>
      <w:bookmarkStart w:id="21" w:name="_Toc15306268"/>
      <w:r>
        <w:rPr>
          <w:rFonts w:hint="eastAsia" w:asciiTheme="majorEastAsia" w:hAnsiTheme="majorEastAsia" w:eastAsiaTheme="majorEastAsia" w:cstheme="majorEastAsia"/>
          <w:b/>
          <w:bCs/>
          <w:sz w:val="48"/>
          <w:szCs w:val="48"/>
          <w:lang w:val="en-US" w:eastAsia="zh-CN"/>
        </w:rPr>
        <w:t>经济技术开发区</w:t>
      </w:r>
      <w:r>
        <w:rPr>
          <w:rFonts w:hint="eastAsia" w:asciiTheme="majorEastAsia" w:hAnsiTheme="majorEastAsia" w:eastAsiaTheme="majorEastAsia" w:cstheme="majorEastAsia"/>
          <w:b/>
          <w:bCs/>
          <w:sz w:val="48"/>
          <w:szCs w:val="48"/>
        </w:rPr>
        <w:t>盘龙镇人民政府</w:t>
      </w:r>
    </w:p>
    <w:p>
      <w:pPr>
        <w:adjustRightInd w:val="0"/>
        <w:snapToGrid w:val="0"/>
        <w:spacing w:line="360" w:lineRule="auto"/>
        <w:jc w:val="center"/>
        <w:outlineLvl w:val="0"/>
        <w:rPr>
          <w:rFonts w:hint="eastAsia"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单位决算</w:t>
      </w:r>
      <w:bookmarkEnd w:id="11"/>
      <w:bookmarkEnd w:id="12"/>
      <w:bookmarkEnd w:id="13"/>
      <w:bookmarkEnd w:id="14"/>
      <w:bookmarkEnd w:id="15"/>
      <w:bookmarkEnd w:id="16"/>
      <w:bookmarkEnd w:id="17"/>
      <w:bookmarkEnd w:id="18"/>
      <w:bookmarkEnd w:id="19"/>
      <w:bookmarkEnd w:id="20"/>
      <w:bookmarkEnd w:id="21"/>
    </w:p>
    <w:p>
      <w:pPr>
        <w:widowControl/>
        <w:spacing w:line="1400" w:lineRule="exact"/>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22" w:name="_Toc15396599"/>
      <w:bookmarkStart w:id="23" w:name="_Toc15377196"/>
    </w:p>
    <w:p>
      <w:pPr>
        <w:widowControl/>
        <w:spacing w:line="1400" w:lineRule="exact"/>
        <w:jc w:val="center"/>
        <w:rPr>
          <w:rFonts w:ascii="黑体" w:hAnsi="黑体" w:eastAsia="黑体" w:cstheme="minorBidi"/>
          <w:color w:val="auto"/>
          <w:sz w:val="28"/>
          <w:szCs w:val="28"/>
          <w:highlight w:val="none"/>
        </w:rPr>
      </w:pPr>
      <w:r>
        <w:rPr>
          <w:rFonts w:hint="eastAsia" w:ascii="黑体" w:hAnsi="黑体" w:eastAsia="黑体"/>
          <w:sz w:val="48"/>
          <w:szCs w:val="48"/>
        </w:rPr>
        <w:t>目   录</w:t>
      </w:r>
    </w:p>
    <w:p>
      <w:pPr>
        <w:pStyle w:val="13"/>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 xml:space="preserve"> 9</w:t>
      </w:r>
      <w:r>
        <w:rPr>
          <w:rFonts w:hint="eastAsia"/>
          <w:color w:val="auto"/>
          <w:highlight w:val="none"/>
        </w:rPr>
        <w:t>月</w:t>
      </w:r>
      <w:r>
        <w:rPr>
          <w:rFonts w:hint="eastAsia"/>
          <w:color w:val="auto"/>
          <w:highlight w:val="none"/>
          <w:lang w:val="en-US" w:eastAsia="zh-CN"/>
        </w:rPr>
        <w:t xml:space="preserve">22 </w:t>
      </w:r>
      <w:r>
        <w:rPr>
          <w:rFonts w:hint="eastAsia"/>
          <w:color w:val="auto"/>
          <w:highlight w:val="none"/>
        </w:rPr>
        <w:t>日</w:t>
      </w:r>
    </w:p>
    <w:sdt>
      <w:sdtPr>
        <w:rPr>
          <w:rFonts w:ascii="宋体" w:hAnsi="宋体" w:eastAsia="宋体" w:cs="Times New Roman"/>
          <w:kern w:val="2"/>
          <w:sz w:val="21"/>
          <w:szCs w:val="24"/>
          <w:lang w:val="en-US" w:eastAsia="zh-CN" w:bidi="ar-SA"/>
        </w:rPr>
        <w:id w:val="861843544"/>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pStyle w:val="13"/>
          </w:pPr>
        </w:p>
        <w:p>
          <w:pPr>
            <w:pStyle w:val="13"/>
            <w:tabs>
              <w:tab w:val="right" w:leader="dot" w:pos="8306"/>
              <w:tab w:val="clear" w:pos="8296"/>
            </w:tabs>
          </w:pPr>
          <w:r>
            <w:fldChar w:fldCharType="begin"/>
          </w:r>
          <w:r>
            <w:instrText xml:space="preserve">TOC \o "1-2" \t "目录" \h \u </w:instrText>
          </w:r>
          <w:r>
            <w:fldChar w:fldCharType="separate"/>
          </w:r>
          <w:r>
            <w:fldChar w:fldCharType="begin"/>
          </w:r>
          <w:r>
            <w:instrText xml:space="preserve"> HYPERLINK \l _Toc7265598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_Toc7265598 \h </w:instrText>
          </w:r>
          <w:r>
            <w:fldChar w:fldCharType="separate"/>
          </w:r>
          <w:r>
            <w:t>1</w:t>
          </w:r>
          <w:r>
            <w:fldChar w:fldCharType="end"/>
          </w:r>
          <w:r>
            <w:fldChar w:fldCharType="end"/>
          </w:r>
        </w:p>
        <w:p>
          <w:pPr>
            <w:pStyle w:val="14"/>
            <w:tabs>
              <w:tab w:val="right" w:leader="dot" w:pos="8306"/>
              <w:tab w:val="clear" w:pos="8296"/>
            </w:tabs>
          </w:pPr>
          <w:r>
            <w:fldChar w:fldCharType="begin"/>
          </w:r>
          <w:r>
            <w:instrText xml:space="preserve"> HYPERLINK \l _Toc1293238142 </w:instrText>
          </w:r>
          <w:r>
            <w:fldChar w:fldCharType="separate"/>
          </w:r>
          <w:r>
            <w:rPr>
              <w:rFonts w:hint="eastAsia" w:ascii="黑体" w:hAnsi="黑体" w:eastAsia="黑体"/>
            </w:rPr>
            <w:t>一、</w:t>
          </w:r>
          <w:r>
            <w:rPr>
              <w:rFonts w:hint="eastAsia" w:ascii="黑体" w:hAnsi="黑体" w:eastAsia="黑体"/>
              <w:lang w:eastAsia="zh-CN"/>
            </w:rPr>
            <w:t>主要</w:t>
          </w:r>
          <w:r>
            <w:rPr>
              <w:rFonts w:hint="eastAsia" w:ascii="黑体" w:hAnsi="黑体" w:eastAsia="黑体"/>
            </w:rPr>
            <w:t>职</w:t>
          </w:r>
          <w:r>
            <w:rPr>
              <w:rFonts w:hint="eastAsia" w:ascii="黑体" w:hAnsi="黑体" w:eastAsia="黑体"/>
              <w:lang w:eastAsia="zh-CN"/>
            </w:rPr>
            <w:t>责</w:t>
          </w:r>
          <w:r>
            <w:tab/>
          </w:r>
          <w:r>
            <w:fldChar w:fldCharType="begin"/>
          </w:r>
          <w:r>
            <w:instrText xml:space="preserve"> PAGEREF _Toc1293238142 \h </w:instrText>
          </w:r>
          <w:r>
            <w:fldChar w:fldCharType="separate"/>
          </w:r>
          <w:r>
            <w:t>1</w:t>
          </w:r>
          <w:r>
            <w:fldChar w:fldCharType="end"/>
          </w:r>
          <w:r>
            <w:fldChar w:fldCharType="end"/>
          </w:r>
        </w:p>
        <w:p>
          <w:pPr>
            <w:pStyle w:val="14"/>
            <w:tabs>
              <w:tab w:val="right" w:leader="dot" w:pos="8306"/>
              <w:tab w:val="clear" w:pos="8296"/>
            </w:tabs>
          </w:pPr>
          <w:r>
            <w:fldChar w:fldCharType="begin"/>
          </w:r>
          <w:r>
            <w:instrText xml:space="preserve"> HYPERLINK \l _Toc1869964153 </w:instrText>
          </w:r>
          <w:r>
            <w:fldChar w:fldCharType="separate"/>
          </w:r>
          <w:r>
            <w:rPr>
              <w:rFonts w:hint="eastAsia" w:ascii="黑体" w:eastAsia="黑体"/>
            </w:rPr>
            <w:t>二、</w:t>
          </w:r>
          <w:r>
            <w:rPr>
              <w:rFonts w:hint="eastAsia" w:ascii="黑体" w:hAnsi="黑体" w:eastAsia="黑体"/>
            </w:rPr>
            <w:t>机构设置</w:t>
          </w:r>
          <w:r>
            <w:tab/>
          </w:r>
          <w:r>
            <w:fldChar w:fldCharType="begin"/>
          </w:r>
          <w:r>
            <w:instrText xml:space="preserve"> PAGEREF _Toc1869964153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_Toc742112211 </w:instrText>
          </w:r>
          <w:r>
            <w:fldChar w:fldCharType="separate"/>
          </w:r>
          <w:r>
            <w:rPr>
              <w:rFonts w:hint="eastAsia" w:ascii="黑体" w:hAnsi="黑体" w:eastAsia="黑体"/>
            </w:rPr>
            <w:t>第二部分 202</w:t>
          </w:r>
          <w:r>
            <w:rPr>
              <w:rFonts w:hint="eastAsia" w:ascii="黑体" w:hAnsi="黑体" w:eastAsia="黑体"/>
              <w:lang w:val="en-US" w:eastAsia="zh-CN"/>
            </w:rPr>
            <w:t>2</w:t>
          </w:r>
          <w:r>
            <w:rPr>
              <w:rFonts w:hint="eastAsia" w:ascii="黑体" w:hAnsi="黑体" w:eastAsia="黑体"/>
            </w:rPr>
            <w:t>年度</w:t>
          </w:r>
          <w:r>
            <w:rPr>
              <w:rFonts w:hint="eastAsia" w:ascii="黑体" w:hAnsi="黑体" w:eastAsia="黑体"/>
              <w:bCs/>
            </w:rPr>
            <w:t>单位决算情况说明</w:t>
          </w:r>
          <w:r>
            <w:tab/>
          </w:r>
          <w:r>
            <w:fldChar w:fldCharType="begin"/>
          </w:r>
          <w:r>
            <w:instrText xml:space="preserve"> PAGEREF _Toc742112211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_Toc2066028618 </w:instrText>
          </w:r>
          <w:r>
            <w:fldChar w:fldCharType="separate"/>
          </w:r>
          <w:r>
            <w:rPr>
              <w:rFonts w:hint="default" w:ascii="黑体" w:hAnsi="黑体" w:eastAsia="黑体"/>
            </w:rPr>
            <w:t xml:space="preserve">一、 </w:t>
          </w:r>
          <w:r>
            <w:rPr>
              <w:rFonts w:hint="eastAsia" w:ascii="黑体" w:hAnsi="黑体" w:eastAsia="黑体"/>
            </w:rPr>
            <w:t>收入支出决算总体情况说明</w:t>
          </w:r>
          <w:r>
            <w:tab/>
          </w:r>
          <w:r>
            <w:fldChar w:fldCharType="begin"/>
          </w:r>
          <w:r>
            <w:instrText xml:space="preserve"> PAGEREF _Toc2066028618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_Toc801312676 </w:instrText>
          </w:r>
          <w:r>
            <w:fldChar w:fldCharType="separate"/>
          </w:r>
          <w:r>
            <w:rPr>
              <w:rFonts w:hint="eastAsia" w:ascii="黑体" w:hAnsi="黑体" w:eastAsia="黑体"/>
              <w:szCs w:val="32"/>
            </w:rPr>
            <w:t>二、收</w:t>
          </w:r>
          <w:r>
            <w:rPr>
              <w:rFonts w:hint="eastAsia" w:ascii="黑体" w:hAnsi="黑体" w:eastAsia="黑体"/>
            </w:rPr>
            <w:t>入决算情况说明</w:t>
          </w:r>
          <w:r>
            <w:tab/>
          </w:r>
          <w:r>
            <w:fldChar w:fldCharType="begin"/>
          </w:r>
          <w:r>
            <w:instrText xml:space="preserve"> PAGEREF _Toc801312676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_Toc1370574624 </w:instrText>
          </w:r>
          <w:r>
            <w:fldChar w:fldCharType="separate"/>
          </w:r>
          <w:r>
            <w:rPr>
              <w:rFonts w:hint="eastAsia" w:ascii="黑体" w:hAnsi="黑体" w:eastAsia="黑体"/>
              <w:szCs w:val="32"/>
            </w:rPr>
            <w:t>三、支</w:t>
          </w:r>
          <w:r>
            <w:rPr>
              <w:rFonts w:hint="eastAsia" w:ascii="黑体" w:hAnsi="黑体" w:eastAsia="黑体"/>
            </w:rPr>
            <w:t>出决算情况说明</w:t>
          </w:r>
          <w:r>
            <w:tab/>
          </w:r>
          <w:r>
            <w:fldChar w:fldCharType="begin"/>
          </w:r>
          <w:r>
            <w:instrText xml:space="preserve"> PAGEREF _Toc1370574624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_Toc877445439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_Toc877445439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_Toc1847388643 </w:instrText>
          </w:r>
          <w:r>
            <w:fldChar w:fldCharType="separate"/>
          </w:r>
          <w:r>
            <w:rPr>
              <w:rFonts w:hint="eastAsia" w:ascii="黑体" w:hAnsi="黑体" w:eastAsia="黑体"/>
            </w:rPr>
            <w:t>五、一般公共预算财政拨款支出决算情况说明</w:t>
          </w:r>
          <w:r>
            <w:tab/>
          </w:r>
          <w:r>
            <w:fldChar w:fldCharType="begin"/>
          </w:r>
          <w:r>
            <w:instrText xml:space="preserve"> PAGEREF _Toc1847388643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_Toc1888176842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_Toc1888176842 \h </w:instrText>
          </w:r>
          <w:r>
            <w:fldChar w:fldCharType="separate"/>
          </w:r>
          <w:r>
            <w:t>10</w:t>
          </w:r>
          <w:r>
            <w:fldChar w:fldCharType="end"/>
          </w:r>
          <w:r>
            <w:fldChar w:fldCharType="end"/>
          </w:r>
        </w:p>
        <w:p>
          <w:pPr>
            <w:pStyle w:val="14"/>
            <w:tabs>
              <w:tab w:val="right" w:leader="dot" w:pos="8306"/>
              <w:tab w:val="clear" w:pos="8296"/>
            </w:tabs>
          </w:pPr>
          <w:r>
            <w:fldChar w:fldCharType="begin"/>
          </w:r>
          <w:r>
            <w:instrText xml:space="preserve"> HYPERLINK \l _Toc92453200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_Toc92453200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_Toc1066555217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_Toc1066555217 \h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_Toc2093543314 </w:instrText>
          </w:r>
          <w:r>
            <w:fldChar w:fldCharType="separate"/>
          </w:r>
          <w:r>
            <w:rPr>
              <w:rFonts w:hint="eastAsia" w:ascii="黑体" w:hAnsi="黑体" w:eastAsia="黑体"/>
              <w:lang w:val="en-US" w:eastAsia="zh-CN"/>
            </w:rPr>
            <w:t>九、</w:t>
          </w:r>
          <w:r>
            <w:rPr>
              <w:rFonts w:hint="eastAsia" w:ascii="黑体" w:hAnsi="黑体" w:eastAsia="黑体"/>
            </w:rPr>
            <w:t>国有资本经营预算支出决算情况说明</w:t>
          </w:r>
          <w:r>
            <w:tab/>
          </w:r>
          <w:r>
            <w:fldChar w:fldCharType="begin"/>
          </w:r>
          <w:r>
            <w:instrText xml:space="preserve"> PAGEREF _Toc2093543314 \h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_Toc1853698409 </w:instrText>
          </w:r>
          <w:r>
            <w:fldChar w:fldCharType="separate"/>
          </w:r>
          <w:r>
            <w:rPr>
              <w:rFonts w:hint="eastAsia" w:ascii="黑体" w:hAnsi="黑体" w:eastAsia="黑体"/>
              <w:lang w:val="en-US" w:eastAsia="zh-CN"/>
            </w:rPr>
            <w:t>十、</w:t>
          </w:r>
          <w:r>
            <w:rPr>
              <w:rFonts w:hint="eastAsia" w:ascii="黑体" w:hAnsi="黑体" w:eastAsia="黑体"/>
            </w:rPr>
            <w:t>其他重要事项的情况说明</w:t>
          </w:r>
          <w:r>
            <w:tab/>
          </w:r>
          <w:r>
            <w:fldChar w:fldCharType="begin"/>
          </w:r>
          <w:r>
            <w:instrText xml:space="preserve"> PAGEREF _Toc1853698409 \h </w:instrText>
          </w:r>
          <w:r>
            <w:fldChar w:fldCharType="separate"/>
          </w:r>
          <w:r>
            <w:t>12</w:t>
          </w:r>
          <w:r>
            <w:fldChar w:fldCharType="end"/>
          </w:r>
          <w:r>
            <w:fldChar w:fldCharType="end"/>
          </w:r>
        </w:p>
        <w:p>
          <w:pPr>
            <w:pStyle w:val="13"/>
            <w:tabs>
              <w:tab w:val="right" w:leader="dot" w:pos="8306"/>
              <w:tab w:val="clear" w:pos="8296"/>
            </w:tabs>
          </w:pPr>
          <w:r>
            <w:fldChar w:fldCharType="begin"/>
          </w:r>
          <w:r>
            <w:instrText xml:space="preserve"> HYPERLINK \l _Toc25379564 </w:instrText>
          </w:r>
          <w:r>
            <w:fldChar w:fldCharType="separate"/>
          </w:r>
          <w:r>
            <w:rPr>
              <w:rFonts w:hint="eastAsia" w:ascii="黑体" w:hAnsi="黑体" w:eastAsia="黑体"/>
              <w:szCs w:val="44"/>
            </w:rPr>
            <w:t>第</w:t>
          </w:r>
          <w:bookmarkStart w:id="227" w:name="_GoBack"/>
          <w:bookmarkEnd w:id="227"/>
          <w:r>
            <w:rPr>
              <w:rFonts w:hint="eastAsia" w:ascii="黑体" w:hAnsi="黑体" w:eastAsia="黑体"/>
              <w:szCs w:val="44"/>
            </w:rPr>
            <w:t>三部份   名</w:t>
          </w:r>
          <w:r>
            <w:rPr>
              <w:rFonts w:hint="eastAsia" w:ascii="黑体" w:hAnsi="黑体" w:eastAsia="黑体"/>
            </w:rPr>
            <w:t>词解释</w:t>
          </w:r>
          <w:r>
            <w:tab/>
          </w:r>
          <w:r>
            <w:fldChar w:fldCharType="begin"/>
          </w:r>
          <w:r>
            <w:instrText xml:space="preserve"> PAGEREF _Toc25379564 \h </w:instrText>
          </w:r>
          <w:r>
            <w:fldChar w:fldCharType="separate"/>
          </w:r>
          <w:r>
            <w:t>13</w:t>
          </w:r>
          <w:r>
            <w:fldChar w:fldCharType="end"/>
          </w:r>
          <w:r>
            <w:fldChar w:fldCharType="end"/>
          </w:r>
        </w:p>
        <w:p>
          <w:pPr>
            <w:pStyle w:val="13"/>
            <w:tabs>
              <w:tab w:val="right" w:leader="dot" w:pos="8306"/>
              <w:tab w:val="clear" w:pos="8296"/>
            </w:tabs>
          </w:pPr>
          <w:r>
            <w:fldChar w:fldCharType="begin"/>
          </w:r>
          <w:r>
            <w:instrText xml:space="preserve"> HYPERLINK \l _Toc1916735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_Toc1916735 \h </w:instrText>
          </w:r>
          <w:r>
            <w:fldChar w:fldCharType="separate"/>
          </w:r>
          <w:r>
            <w:t>19</w:t>
          </w:r>
          <w:r>
            <w:fldChar w:fldCharType="end"/>
          </w:r>
          <w:r>
            <w:fldChar w:fldCharType="end"/>
          </w:r>
        </w:p>
        <w:p>
          <w:pPr>
            <w:pStyle w:val="13"/>
            <w:tabs>
              <w:tab w:val="right" w:leader="dot" w:pos="8306"/>
              <w:tab w:val="clear" w:pos="8296"/>
            </w:tabs>
          </w:pPr>
          <w:r>
            <w:fldChar w:fldCharType="begin"/>
          </w:r>
          <w:r>
            <w:instrText xml:space="preserve"> HYPERLINK \l _Toc1478411746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_Toc1478411746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_Toc281555210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_Toc281555210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_Toc1575278453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_Toc1575278453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_Toc662910698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_Toc662910698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_Toc1053316304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_Toc1053316304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_Toc1571631236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_Toc1571631236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_Toc230429077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_Toc230429077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_Toc26017375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_Toc26017375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_Toc162375012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_Toc162375012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_Toc237694675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_Toc237694675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_Toc1319255517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_Toc1319255517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_Toc2032339165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_Toc2032339165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_Toc979806887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_Toc979806887 \h </w:instrText>
          </w:r>
          <w:r>
            <w:fldChar w:fldCharType="separate"/>
          </w:r>
          <w:r>
            <w:t>67</w:t>
          </w:r>
          <w:r>
            <w:fldChar w:fldCharType="end"/>
          </w:r>
          <w:r>
            <w:fldChar w:fldCharType="end"/>
          </w:r>
        </w:p>
        <w:p>
          <w:pPr>
            <w:pStyle w:val="14"/>
            <w:tabs>
              <w:tab w:val="right" w:leader="dot" w:pos="8306"/>
              <w:tab w:val="clear" w:pos="8296"/>
            </w:tabs>
          </w:pPr>
          <w:r>
            <w:fldChar w:fldCharType="begin"/>
          </w:r>
          <w:r>
            <w:instrText xml:space="preserve"> HYPERLINK \l _Toc1237800488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_Toc1237800488 \h </w:instrText>
          </w:r>
          <w:r>
            <w:fldChar w:fldCharType="separate"/>
          </w:r>
          <w:r>
            <w:t>67</w:t>
          </w:r>
          <w:r>
            <w:fldChar w:fldCharType="end"/>
          </w:r>
          <w:r>
            <w:fldChar w:fldCharType="end"/>
          </w:r>
        </w:p>
        <w:p>
          <w:p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r>
            <w:fldChar w:fldCharType="end"/>
          </w:r>
        </w:p>
        <w:p>
          <w:bookmarkStart w:id="24" w:name="_Toc1327211866"/>
          <w:bookmarkStart w:id="25" w:name="_Toc7265598"/>
          <w:bookmarkStart w:id="26" w:name="_Toc1884221634"/>
          <w:bookmarkStart w:id="27" w:name="_Toc367429519"/>
        </w:p>
      </w:sdtContent>
    </w:sdt>
    <w:p>
      <w:pPr>
        <w:pStyle w:val="3"/>
        <w:bidi w:val="0"/>
        <w:jc w:val="center"/>
        <w:rPr>
          <w:rFonts w:ascii="黑体" w:hAnsi="黑体" w:eastAsia="黑体"/>
        </w:rPr>
      </w:pPr>
      <w:r>
        <w:rPr>
          <w:rFonts w:hint="eastAsia" w:ascii="黑体" w:hAnsi="黑体" w:eastAsia="黑体"/>
        </w:rPr>
        <w:t>第一部分 单位概况</w:t>
      </w:r>
      <w:bookmarkEnd w:id="22"/>
      <w:bookmarkEnd w:id="23"/>
      <w:bookmarkEnd w:id="24"/>
      <w:bookmarkEnd w:id="25"/>
      <w:bookmarkEnd w:id="26"/>
      <w:bookmarkEnd w:id="27"/>
      <w:bookmarkStart w:id="28" w:name="_Toc15377197"/>
      <w:bookmarkStart w:id="29" w:name="_Toc15396600"/>
    </w:p>
    <w:p>
      <w:pPr>
        <w:pStyle w:val="4"/>
        <w:bidi w:val="0"/>
        <w:adjustRightInd w:val="0"/>
        <w:snapToGrid w:val="0"/>
        <w:spacing w:line="576" w:lineRule="exact"/>
        <w:ind w:firstLine="674" w:firstLineChars="210"/>
        <w:rPr>
          <w:rFonts w:hint="eastAsia" w:ascii="仿宋" w:hAnsi="仿宋" w:eastAsia="仿宋"/>
          <w:lang w:val="en-US" w:eastAsia="zh-CN"/>
        </w:rPr>
      </w:pPr>
      <w:bookmarkStart w:id="30" w:name="_Toc1293238142"/>
      <w:bookmarkStart w:id="31" w:name="_Toc706797024"/>
      <w:bookmarkStart w:id="32" w:name="_Toc85671943"/>
      <w:r>
        <w:rPr>
          <w:rFonts w:hint="eastAsia" w:ascii="黑体" w:hAnsi="黑体" w:eastAsia="黑体"/>
        </w:rPr>
        <w:t>一、</w:t>
      </w:r>
      <w:r>
        <w:rPr>
          <w:rFonts w:hint="eastAsia" w:ascii="黑体" w:hAnsi="黑体" w:eastAsia="黑体"/>
          <w:lang w:eastAsia="zh-CN"/>
        </w:rPr>
        <w:t>主要</w:t>
      </w:r>
      <w:r>
        <w:rPr>
          <w:rFonts w:hint="eastAsia" w:ascii="黑体" w:hAnsi="黑体" w:eastAsia="黑体"/>
        </w:rPr>
        <w:t>职</w:t>
      </w:r>
      <w:r>
        <w:rPr>
          <w:rFonts w:hint="eastAsia" w:ascii="黑体" w:hAnsi="黑体" w:eastAsia="黑体"/>
          <w:lang w:eastAsia="zh-CN"/>
        </w:rPr>
        <w:t>责</w:t>
      </w:r>
      <w:bookmarkEnd w:id="30"/>
      <w:bookmarkEnd w:id="31"/>
      <w:bookmarkEnd w:id="32"/>
    </w:p>
    <w:p>
      <w:pPr>
        <w:pStyle w:val="2"/>
        <w:adjustRightInd w:val="0"/>
        <w:snapToGrid w:val="0"/>
        <w:spacing w:before="93" w:line="576" w:lineRule="exact"/>
        <w:ind w:firstLine="672" w:firstLineChars="21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主要职责为：负责辖区内经济建设、固定资产投资、安全生产、信访维稳、房屋征收与补偿、民政、劳动就业、社会保障、环境卫生等工作。</w:t>
      </w:r>
      <w:bookmarkStart w:id="33" w:name="_Toc15378446"/>
      <w:bookmarkStart w:id="34" w:name="_Toc15377199"/>
    </w:p>
    <w:bookmarkEnd w:id="28"/>
    <w:bookmarkEnd w:id="29"/>
    <w:bookmarkEnd w:id="33"/>
    <w:bookmarkEnd w:id="34"/>
    <w:p>
      <w:pPr>
        <w:pStyle w:val="4"/>
        <w:bidi w:val="0"/>
        <w:spacing w:line="576" w:lineRule="exact"/>
        <w:ind w:firstLine="642" w:firstLineChars="200"/>
      </w:pPr>
      <w:bookmarkStart w:id="35" w:name="_Toc15396601"/>
      <w:bookmarkStart w:id="36" w:name="_Toc1176409616"/>
      <w:bookmarkStart w:id="37" w:name="_Toc15377200"/>
      <w:bookmarkStart w:id="38" w:name="_Toc1869964153"/>
      <w:bookmarkStart w:id="39" w:name="_Toc1707991044"/>
      <w:r>
        <w:rPr>
          <w:rFonts w:hint="eastAsia" w:ascii="黑体" w:eastAsia="黑体"/>
        </w:rPr>
        <w:t>二、</w:t>
      </w:r>
      <w:r>
        <w:rPr>
          <w:rFonts w:hint="eastAsia" w:ascii="黑体" w:hAnsi="黑体" w:eastAsia="黑体"/>
        </w:rPr>
        <w:t>机构设置</w:t>
      </w:r>
      <w:bookmarkEnd w:id="35"/>
      <w:bookmarkEnd w:id="36"/>
      <w:bookmarkEnd w:id="37"/>
      <w:bookmarkEnd w:id="38"/>
      <w:bookmarkEnd w:id="39"/>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盘龙镇地处广元城区西入口，东临袁家坝工业园区、川浙合作产业园区，西连宝轮镇，南接昭化古城，北靠天曌山森林公园。全镇幅员面积67平方公里，辖9行政村，4个社区，66个村(居)民小组，4904户，20503人，耕地10245亩，林地36043亩。财政编制57名（行政编制24名、事业编制30名、机关工勤人员编制3名）</w:t>
      </w:r>
    </w:p>
    <w:p>
      <w:pPr>
        <w:spacing w:line="600" w:lineRule="exact"/>
        <w:ind w:firstLine="640" w:firstLineChars="200"/>
        <w:rPr>
          <w:rFonts w:ascii="仿宋" w:hAnsi="仿宋" w:eastAsia="仿宋"/>
          <w:sz w:val="32"/>
          <w:szCs w:val="32"/>
        </w:rPr>
      </w:pPr>
      <w:r>
        <w:rPr>
          <w:rFonts w:hint="eastAsia" w:ascii="仿宋" w:hAnsi="仿宋" w:eastAsia="仿宋"/>
          <w:color w:val="auto"/>
          <w:sz w:val="32"/>
          <w:szCs w:val="32"/>
          <w:highlight w:val="none"/>
          <w:lang w:val="en-US" w:eastAsia="zh-CN"/>
        </w:rPr>
        <w:t>年末实有人数38人，其中：在职正式人员28人，聘用人员10人。内设党政办公室、便民服务中心、乡村振兴办公室、项目服务中心、综治维稳中心及财政所六个部门</w:t>
      </w:r>
      <w:r>
        <w:rPr>
          <w:rFonts w:hint="eastAsia" w:ascii="仿宋" w:hAnsi="仿宋" w:eastAsia="仿宋"/>
          <w:sz w:val="32"/>
          <w:szCs w:val="32"/>
        </w:rPr>
        <w:t>。</w:t>
      </w: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ind w:right="440" w:firstLine="440" w:firstLineChars="100"/>
        <w:jc w:val="both"/>
        <w:rPr>
          <w:rStyle w:val="28"/>
          <w:rFonts w:ascii="黑体" w:hAnsi="黑体" w:eastAsia="黑体"/>
          <w:b w:val="0"/>
          <w:bCs/>
        </w:rPr>
      </w:pPr>
      <w:bookmarkStart w:id="40" w:name="_Toc330385703"/>
      <w:bookmarkStart w:id="41" w:name="_Toc15396602"/>
      <w:bookmarkStart w:id="42" w:name="_Toc1329519556"/>
      <w:bookmarkStart w:id="43" w:name="_Toc1483237447"/>
      <w:bookmarkStart w:id="44" w:name="_Toc742112211"/>
      <w:bookmarkStart w:id="45" w:name="_Toc15377204"/>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28"/>
          <w:rFonts w:hint="eastAsia" w:ascii="黑体" w:hAnsi="黑体" w:eastAsia="黑体"/>
          <w:b w:val="0"/>
          <w:bCs/>
        </w:rPr>
        <w:t>单位决算情况说明</w:t>
      </w:r>
      <w:bookmarkEnd w:id="40"/>
      <w:bookmarkEnd w:id="41"/>
      <w:bookmarkEnd w:id="42"/>
      <w:bookmarkEnd w:id="43"/>
      <w:bookmarkEnd w:id="44"/>
      <w:bookmarkEnd w:id="45"/>
    </w:p>
    <w:p/>
    <w:p>
      <w:pPr>
        <w:pStyle w:val="27"/>
        <w:numPr>
          <w:ilvl w:val="0"/>
          <w:numId w:val="1"/>
        </w:numPr>
        <w:spacing w:line="600" w:lineRule="exact"/>
        <w:ind w:firstLineChars="0"/>
        <w:outlineLvl w:val="1"/>
        <w:rPr>
          <w:rStyle w:val="29"/>
          <w:rFonts w:hint="eastAsia" w:ascii="黑体" w:hAnsi="黑体" w:eastAsia="黑体"/>
          <w:b w:val="0"/>
          <w:lang w:val="en-US" w:eastAsia="zh-CN" w:bidi="ar-SA"/>
        </w:rPr>
      </w:pPr>
      <w:bookmarkStart w:id="46" w:name="_Toc15396603"/>
      <w:bookmarkStart w:id="47" w:name="_Toc415951728"/>
      <w:bookmarkStart w:id="48" w:name="_Toc2066028618"/>
      <w:bookmarkStart w:id="49" w:name="_Toc15377205"/>
      <w:bookmarkStart w:id="50" w:name="_Toc1702717315"/>
      <w:bookmarkStart w:id="51" w:name="_Toc2127288878"/>
      <w:r>
        <w:rPr>
          <w:rStyle w:val="29"/>
          <w:rFonts w:hint="eastAsia" w:ascii="黑体" w:hAnsi="黑体" w:eastAsia="黑体"/>
          <w:b w:val="0"/>
          <w:lang w:val="en-US" w:eastAsia="zh-CN" w:bidi="ar-SA"/>
        </w:rPr>
        <w:t>收入支出决算总体情况说明</w:t>
      </w:r>
      <w:bookmarkEnd w:id="46"/>
      <w:bookmarkEnd w:id="47"/>
      <w:bookmarkEnd w:id="48"/>
      <w:bookmarkEnd w:id="49"/>
      <w:bookmarkEnd w:id="50"/>
      <w:bookmarkEnd w:id="51"/>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olor w:val="auto"/>
          <w:sz w:val="32"/>
          <w:szCs w:val="32"/>
          <w:highlight w:val="none"/>
        </w:rPr>
      </w:pPr>
      <w:r>
        <w:rPr>
          <w:rFonts w:hint="eastAsia" w:ascii="仿宋" w:hAnsi="仿宋" w:eastAsia="仿宋"/>
          <w:sz w:val="32"/>
          <w:szCs w:val="32"/>
        </w:rPr>
        <w:t>2</w:t>
      </w:r>
      <w:r>
        <w:rPr>
          <w:rFonts w:hint="eastAsia" w:ascii="仿宋" w:hAnsi="仿宋" w:eastAsia="仿宋"/>
          <w:color w:val="auto"/>
          <w:sz w:val="32"/>
          <w:szCs w:val="32"/>
          <w:highlight w:val="none"/>
        </w:rPr>
        <w:t>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3494.21</w:t>
      </w:r>
      <w:r>
        <w:rPr>
          <w:rFonts w:hint="eastAsia" w:ascii="仿宋" w:hAnsi="仿宋" w:eastAsia="仿宋"/>
          <w:color w:val="auto"/>
          <w:sz w:val="32"/>
          <w:szCs w:val="32"/>
          <w:highlight w:val="none"/>
        </w:rPr>
        <w:t>万元。</w:t>
      </w:r>
      <w:r>
        <w:rPr>
          <w:rFonts w:hint="default" w:ascii="仿宋" w:hAnsi="仿宋" w:eastAsia="仿宋" w:cs="仿宋"/>
          <w:kern w:val="2"/>
          <w:sz w:val="32"/>
          <w:szCs w:val="32"/>
          <w:lang w:val="en-US" w:eastAsia="zh-CN" w:bidi="ar"/>
        </w:rPr>
        <w:t>与2021年相比，收、支总计各增加</w:t>
      </w:r>
      <w:r>
        <w:rPr>
          <w:rFonts w:hint="eastAsia" w:ascii="仿宋" w:hAnsi="仿宋" w:eastAsia="仿宋"/>
          <w:color w:val="auto"/>
          <w:sz w:val="32"/>
          <w:szCs w:val="32"/>
          <w:highlight w:val="none"/>
          <w:lang w:val="en-US" w:eastAsia="zh-CN"/>
        </w:rPr>
        <w:t>1692.78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93.97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拆迁资金、项目建设资金</w:t>
      </w:r>
      <w:r>
        <w:rPr>
          <w:rFonts w:hint="eastAsia" w:ascii="仿宋" w:hAnsi="仿宋" w:eastAsia="仿宋"/>
          <w:color w:val="auto"/>
          <w:sz w:val="32"/>
          <w:szCs w:val="32"/>
          <w:highlight w:val="none"/>
        </w:rPr>
        <w:t>增加。</w:t>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210" w:firstLineChars="100"/>
        <w:outlineLvl w:val="1"/>
        <w:rPr>
          <w:rFonts w:hint="eastAsia" w:ascii="黑体" w:hAnsi="黑体" w:eastAsia="黑体"/>
          <w:sz w:val="32"/>
          <w:szCs w:val="32"/>
        </w:rPr>
      </w:pPr>
      <w:bookmarkStart w:id="52" w:name="_Toc15396604"/>
      <w:bookmarkStart w:id="53" w:name="_Toc15377206"/>
      <w:r>
        <w:rPr>
          <w:rFonts w:hint="eastAsia"/>
          <w:lang w:val="en-US" w:eastAsia="zh-CN"/>
        </w:rPr>
        <w:t xml:space="preserve">            </w:t>
      </w:r>
      <w:bookmarkStart w:id="54" w:name="_Toc1009855781"/>
      <w:bookmarkStart w:id="55" w:name="_Toc1059249287"/>
      <w:bookmarkStart w:id="56" w:name="_Toc2130489533"/>
      <w:bookmarkStart w:id="57" w:name="_Toc1298550145"/>
      <w:bookmarkStart w:id="58" w:name="_Toc741874641"/>
      <w:r>
        <w:rPr>
          <w:rFonts w:hint="eastAsia" w:ascii="黑体" w:hAnsi="黑体" w:eastAsia="黑体" w:cs="黑体"/>
          <w:color w:val="000000" w:themeColor="text1"/>
          <w:sz w:val="32"/>
          <w:szCs w:val="32"/>
          <w14:textFill>
            <w14:solidFill>
              <w14:schemeClr w14:val="tx1"/>
            </w14:solidFill>
          </w14:textFill>
        </w:rPr>
        <w:t>（图</w:t>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t>：收</w:t>
      </w:r>
      <w:r>
        <w:rPr>
          <w:rFonts w:hint="eastAsia" w:ascii="黑体" w:hAnsi="黑体" w:eastAsia="黑体" w:cs="黑体"/>
          <w:color w:val="000000" w:themeColor="text1"/>
          <w:sz w:val="32"/>
          <w:szCs w:val="32"/>
          <w:lang w:eastAsia="zh-CN"/>
          <w14:textFill>
            <w14:solidFill>
              <w14:schemeClr w14:val="tx1"/>
            </w14:solidFill>
          </w14:textFill>
        </w:rPr>
        <w:t>、支</w:t>
      </w:r>
      <w:r>
        <w:rPr>
          <w:rFonts w:hint="eastAsia" w:ascii="黑体" w:hAnsi="黑体" w:eastAsia="黑体" w:cs="黑体"/>
          <w:color w:val="000000" w:themeColor="text1"/>
          <w:sz w:val="32"/>
          <w:szCs w:val="32"/>
          <w14:textFill>
            <w14:solidFill>
              <w14:schemeClr w14:val="tx1"/>
            </w14:solidFill>
          </w14:textFill>
        </w:rPr>
        <w:t>决算</w:t>
      </w:r>
      <w:r>
        <w:rPr>
          <w:rFonts w:hint="eastAsia" w:ascii="黑体" w:hAnsi="黑体" w:eastAsia="黑体" w:cs="黑体"/>
          <w:color w:val="000000" w:themeColor="text1"/>
          <w:sz w:val="32"/>
          <w:szCs w:val="32"/>
          <w:lang w:eastAsia="zh-CN"/>
          <w14:textFill>
            <w14:solidFill>
              <w14:schemeClr w14:val="tx1"/>
            </w14:solidFill>
          </w14:textFill>
        </w:rPr>
        <w:t>总计变动情况</w:t>
      </w:r>
      <w:r>
        <w:rPr>
          <w:rFonts w:hint="eastAsia" w:ascii="黑体" w:hAnsi="黑体" w:eastAsia="黑体" w:cs="黑体"/>
          <w:color w:val="000000" w:themeColor="text1"/>
          <w:sz w:val="32"/>
          <w:szCs w:val="32"/>
          <w14:textFill>
            <w14:solidFill>
              <w14:schemeClr w14:val="tx1"/>
            </w14:solidFill>
          </w14:textFill>
        </w:rPr>
        <w:t>图）</w:t>
      </w:r>
      <w:bookmarkEnd w:id="54"/>
      <w:bookmarkEnd w:id="55"/>
      <w:bookmarkEnd w:id="56"/>
      <w:bookmarkEnd w:id="57"/>
      <w:bookmarkEnd w:id="58"/>
    </w:p>
    <w:p>
      <w:pPr>
        <w:spacing w:line="600" w:lineRule="exact"/>
        <w:ind w:firstLine="320" w:firstLineChars="100"/>
        <w:outlineLvl w:val="1"/>
        <w:rPr>
          <w:rStyle w:val="29"/>
          <w:rFonts w:ascii="黑体" w:hAnsi="黑体" w:eastAsia="黑体"/>
          <w:b w:val="0"/>
        </w:rPr>
      </w:pPr>
      <w:bookmarkStart w:id="59" w:name="_Toc1355126285"/>
      <w:bookmarkStart w:id="60" w:name="_Toc801312676"/>
      <w:bookmarkStart w:id="61" w:name="_Toc1828858139"/>
      <w:bookmarkStart w:id="62" w:name="_Toc142860926"/>
      <w:r>
        <w:rPr>
          <w:rFonts w:hint="eastAsia" w:ascii="黑体" w:hAnsi="黑体" w:eastAsia="黑体"/>
          <w:sz w:val="32"/>
          <w:szCs w:val="32"/>
        </w:rPr>
        <w:t>二、收</w:t>
      </w:r>
      <w:r>
        <w:rPr>
          <w:rStyle w:val="29"/>
          <w:rFonts w:hint="eastAsia" w:ascii="黑体" w:hAnsi="黑体" w:eastAsia="黑体"/>
          <w:b w:val="0"/>
        </w:rPr>
        <w:t>入决算情况说明</w:t>
      </w:r>
      <w:bookmarkEnd w:id="52"/>
      <w:bookmarkEnd w:id="53"/>
      <w:bookmarkEnd w:id="59"/>
      <w:bookmarkEnd w:id="60"/>
      <w:bookmarkEnd w:id="61"/>
      <w:bookmarkEnd w:id="62"/>
    </w:p>
    <w:p>
      <w:pPr>
        <w:spacing w:line="600" w:lineRule="exact"/>
        <w:ind w:firstLine="640" w:firstLineChars="200"/>
        <w:outlineLvl w:val="1"/>
        <w:rPr>
          <w:rFonts w:hint="eastAsia" w:ascii="仿宋" w:hAnsi="仿宋" w:eastAsia="仿宋"/>
          <w:color w:val="auto"/>
          <w:sz w:val="32"/>
          <w:szCs w:val="32"/>
          <w:highlight w:val="none"/>
          <w:lang w:eastAsia="zh-CN"/>
        </w:rPr>
      </w:pPr>
      <w:bookmarkStart w:id="63" w:name="_Toc932032676"/>
      <w:bookmarkStart w:id="64" w:name="_Toc173053422"/>
      <w:bookmarkStart w:id="65" w:name="_Toc672375323"/>
      <w:bookmarkStart w:id="66" w:name="_Toc7764238"/>
      <w:bookmarkStart w:id="67" w:name="_Toc171461360"/>
      <w:bookmarkStart w:id="68" w:name="_Toc134857693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3494.21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1742.37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49.86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1751.84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50.14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63"/>
      <w:bookmarkEnd w:id="64"/>
      <w:bookmarkEnd w:id="65"/>
      <w:bookmarkEnd w:id="66"/>
      <w:bookmarkEnd w:id="67"/>
      <w:bookmarkEnd w:id="68"/>
    </w:p>
    <w:p>
      <w:pPr>
        <w:pStyle w:val="6"/>
        <w:rPr>
          <w:rStyle w:val="29"/>
          <w:rFonts w:ascii="仿宋_GB2312" w:hAnsi="Times New Roman" w:eastAsia="仿宋_GB2312" w:cs="Times New Roman"/>
          <w:b w:val="0"/>
          <w:bCs w:val="0"/>
          <w:kern w:val="0"/>
          <w:sz w:val="30"/>
          <w:szCs w:val="24"/>
        </w:rPr>
      </w:pPr>
      <w:r>
        <w:rPr>
          <w:rFonts w:hint="eastAsia"/>
        </w:rPr>
        <w:drawing>
          <wp:anchor distT="0" distB="0" distL="114300" distR="114300" simplePos="0" relativeHeight="251661312" behindDoc="0" locked="0" layoutInCell="1" allowOverlap="1">
            <wp:simplePos x="0" y="0"/>
            <wp:positionH relativeFrom="column">
              <wp:posOffset>609600</wp:posOffset>
            </wp:positionH>
            <wp:positionV relativeFrom="page">
              <wp:posOffset>1628775</wp:posOffset>
            </wp:positionV>
            <wp:extent cx="4707890" cy="2453005"/>
            <wp:effectExtent l="19050" t="0" r="16510" b="4445"/>
            <wp:wrapTopAndBottom/>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rPr>
        <w:drawing>
          <wp:anchor distT="0" distB="0" distL="114300" distR="114300" simplePos="0" relativeHeight="251659264" behindDoc="0" locked="0" layoutInCell="1" allowOverlap="1">
            <wp:simplePos x="0" y="0"/>
            <wp:positionH relativeFrom="column">
              <wp:posOffset>647700</wp:posOffset>
            </wp:positionH>
            <wp:positionV relativeFrom="page">
              <wp:posOffset>1600200</wp:posOffset>
            </wp:positionV>
            <wp:extent cx="4707890" cy="2453005"/>
            <wp:effectExtent l="19050" t="0" r="16510" b="4445"/>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lang w:val="en-US" w:eastAsia="zh-CN"/>
        </w:rPr>
        <w:t xml:space="preserve">          </w:t>
      </w:r>
    </w:p>
    <w:p>
      <w:pPr>
        <w:pStyle w:val="6"/>
        <w:jc w:val="center"/>
        <w:rPr>
          <w:rStyle w:val="29"/>
          <w:rFonts w:ascii="仿宋_GB2312" w:hAnsi="Times New Roman" w:eastAsia="仿宋_GB2312" w:cs="Times New Roman"/>
          <w:b w:val="0"/>
          <w:bCs w:val="0"/>
          <w:kern w:val="0"/>
          <w:sz w:val="30"/>
          <w:szCs w:val="24"/>
        </w:rPr>
      </w:pPr>
      <w:bookmarkStart w:id="69" w:name="_Toc1234828673"/>
      <w:bookmarkStart w:id="70" w:name="_Toc1370574624"/>
      <w:bookmarkStart w:id="71" w:name="_Toc325457689"/>
      <w:bookmarkStart w:id="72" w:name="_Toc15377207"/>
      <w:bookmarkStart w:id="73" w:name="_Toc1258834250"/>
      <w:bookmarkStart w:id="74" w:name="_Toc15396605"/>
      <w:r>
        <w:rPr>
          <w:rFonts w:hint="eastAsia" w:ascii="黑体" w:hAnsi="黑体" w:eastAsia="黑体" w:cs="黑体"/>
          <w:color w:val="000000" w:themeColor="text1"/>
          <w:sz w:val="32"/>
          <w:szCs w:val="32"/>
          <w14:textFill>
            <w14:solidFill>
              <w14:schemeClr w14:val="tx1"/>
            </w14:solidFill>
          </w14:textFill>
        </w:rPr>
        <w:t>（图2：收入决算结构图）</w:t>
      </w:r>
    </w:p>
    <w:p>
      <w:pPr>
        <w:spacing w:line="600" w:lineRule="exact"/>
        <w:ind w:firstLine="480" w:firstLineChars="150"/>
        <w:outlineLvl w:val="1"/>
        <w:rPr>
          <w:rFonts w:hint="eastAsia" w:ascii="黑体" w:hAnsi="黑体" w:eastAsia="黑体"/>
          <w:sz w:val="32"/>
          <w:szCs w:val="32"/>
        </w:rPr>
      </w:pPr>
    </w:p>
    <w:p>
      <w:pPr>
        <w:spacing w:line="600" w:lineRule="exact"/>
        <w:ind w:firstLine="480" w:firstLineChars="150"/>
        <w:outlineLvl w:val="1"/>
        <w:rPr>
          <w:rStyle w:val="29"/>
          <w:rFonts w:ascii="黑体" w:hAnsi="黑体" w:eastAsia="黑体"/>
          <w:b w:val="0"/>
        </w:rPr>
      </w:pPr>
      <w:r>
        <w:rPr>
          <w:rFonts w:hint="eastAsia" w:ascii="黑体" w:hAnsi="黑体" w:eastAsia="黑体"/>
          <w:sz w:val="32"/>
          <w:szCs w:val="32"/>
        </w:rPr>
        <w:t>三、支</w:t>
      </w:r>
      <w:r>
        <w:rPr>
          <w:rStyle w:val="29"/>
          <w:rFonts w:hint="eastAsia" w:ascii="黑体" w:hAnsi="黑体" w:eastAsia="黑体"/>
          <w:b w:val="0"/>
        </w:rPr>
        <w:t>出决算情况说明</w:t>
      </w:r>
      <w:bookmarkEnd w:id="69"/>
      <w:bookmarkEnd w:id="70"/>
      <w:bookmarkEnd w:id="71"/>
      <w:bookmarkEnd w:id="72"/>
      <w:bookmarkEnd w:id="73"/>
      <w:bookmarkEnd w:id="74"/>
    </w:p>
    <w:p>
      <w:pPr>
        <w:spacing w:line="600" w:lineRule="exact"/>
        <w:ind w:firstLine="420" w:firstLineChars="200"/>
        <w:outlineLvl w:val="1"/>
        <w:rPr>
          <w:rFonts w:ascii="仿宋" w:hAnsi="仿宋" w:eastAsia="仿宋"/>
          <w:sz w:val="32"/>
          <w:szCs w:val="32"/>
        </w:rPr>
      </w:pPr>
      <w:bookmarkStart w:id="75" w:name="_Toc620200495"/>
      <w:bookmarkStart w:id="76" w:name="_Toc739862790"/>
      <w:bookmarkStart w:id="77" w:name="_Toc2143526540"/>
      <w:bookmarkStart w:id="78" w:name="_Toc734846613"/>
      <w:bookmarkStart w:id="79" w:name="_Toc1563225569"/>
      <w:bookmarkStart w:id="80" w:name="_Toc820440500"/>
      <w:r>
        <w:rPr>
          <w:rFonts w:hint="eastAsia"/>
        </w:rPr>
        <w:drawing>
          <wp:anchor distT="0" distB="0" distL="114300" distR="114300" simplePos="0" relativeHeight="251660288" behindDoc="0" locked="0" layoutInCell="1" allowOverlap="1">
            <wp:simplePos x="0" y="0"/>
            <wp:positionH relativeFrom="column">
              <wp:posOffset>619125</wp:posOffset>
            </wp:positionH>
            <wp:positionV relativeFrom="paragraph">
              <wp:posOffset>1050925</wp:posOffset>
            </wp:positionV>
            <wp:extent cx="4401185" cy="2453640"/>
            <wp:effectExtent l="19050" t="0" r="18415" b="3810"/>
            <wp:wrapTopAndBottom/>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3494.21</w:t>
      </w:r>
      <w:r>
        <w:rPr>
          <w:rFonts w:hint="eastAsia" w:ascii="仿宋" w:hAnsi="仿宋" w:eastAsia="仿宋"/>
          <w:sz w:val="32"/>
          <w:szCs w:val="32"/>
        </w:rPr>
        <w:t>万元，其中：基本支出</w:t>
      </w:r>
      <w:r>
        <w:rPr>
          <w:rFonts w:hint="eastAsia" w:ascii="仿宋" w:hAnsi="仿宋" w:eastAsia="仿宋"/>
          <w:sz w:val="32"/>
          <w:szCs w:val="32"/>
          <w:lang w:val="en-US" w:eastAsia="zh-CN"/>
        </w:rPr>
        <w:t>1390.94</w:t>
      </w:r>
      <w:r>
        <w:rPr>
          <w:rFonts w:hint="eastAsia" w:ascii="仿宋" w:hAnsi="仿宋" w:eastAsia="仿宋"/>
          <w:sz w:val="32"/>
          <w:szCs w:val="32"/>
        </w:rPr>
        <w:t>万元，占</w:t>
      </w:r>
      <w:r>
        <w:rPr>
          <w:rFonts w:hint="eastAsia" w:ascii="仿宋" w:hAnsi="仿宋" w:eastAsia="仿宋"/>
          <w:sz w:val="32"/>
          <w:szCs w:val="32"/>
          <w:lang w:val="en-US" w:eastAsia="zh-CN"/>
        </w:rPr>
        <w:t>39.81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2103.27</w:t>
      </w:r>
      <w:r>
        <w:rPr>
          <w:rFonts w:hint="eastAsia" w:ascii="仿宋" w:hAnsi="仿宋" w:eastAsia="仿宋"/>
          <w:sz w:val="32"/>
          <w:szCs w:val="32"/>
        </w:rPr>
        <w:t>万元，占</w:t>
      </w:r>
      <w:r>
        <w:rPr>
          <w:rFonts w:hint="eastAsia" w:ascii="仿宋" w:hAnsi="仿宋" w:eastAsia="仿宋"/>
          <w:sz w:val="32"/>
          <w:szCs w:val="32"/>
          <w:lang w:val="en-US" w:eastAsia="zh-CN"/>
        </w:rPr>
        <w:t>60.19</w:t>
      </w:r>
      <w:r>
        <w:rPr>
          <w:rFonts w:ascii="仿宋" w:hAnsi="仿宋" w:eastAsia="仿宋"/>
          <w:sz w:val="32"/>
          <w:szCs w:val="32"/>
        </w:rPr>
        <w:t>%</w:t>
      </w:r>
      <w:r>
        <w:rPr>
          <w:rFonts w:hint="eastAsia" w:ascii="仿宋" w:hAnsi="仿宋" w:eastAsia="仿宋"/>
          <w:sz w:val="32"/>
          <w:szCs w:val="32"/>
        </w:rPr>
        <w:t>。</w:t>
      </w:r>
      <w:bookmarkEnd w:id="75"/>
      <w:bookmarkEnd w:id="76"/>
      <w:bookmarkEnd w:id="77"/>
      <w:bookmarkEnd w:id="78"/>
      <w:bookmarkEnd w:id="79"/>
      <w:bookmarkEnd w:id="80"/>
    </w:p>
    <w:p>
      <w:pPr>
        <w:pStyle w:val="2"/>
        <w:spacing w:before="93"/>
        <w:ind w:firstLine="2560" w:firstLineChars="800"/>
        <w:rPr>
          <w:rStyle w:val="29"/>
          <w:rFonts w:ascii="仿宋_GB2312" w:hAnsi="Times New Roman" w:eastAsia="仿宋_GB2312" w:cs="Times New Roman"/>
          <w:b w:val="0"/>
          <w:bCs w:val="0"/>
          <w:kern w:val="0"/>
          <w:sz w:val="30"/>
          <w:szCs w:val="24"/>
        </w:rPr>
      </w:pPr>
      <w:r>
        <w:rPr>
          <w:rFonts w:hint="eastAsia" w:ascii="黑体" w:hAnsi="黑体" w:eastAsia="黑体" w:cs="黑体"/>
          <w:color w:val="000000" w:themeColor="text1"/>
          <w:sz w:val="32"/>
          <w:szCs w:val="32"/>
          <w14:textFill>
            <w14:solidFill>
              <w14:schemeClr w14:val="tx1"/>
            </w14:solidFill>
          </w14:textFill>
        </w:rPr>
        <w:t>（图3：支出决算结构图）</w:t>
      </w:r>
    </w:p>
    <w:p>
      <w:pPr>
        <w:spacing w:line="600" w:lineRule="exact"/>
        <w:ind w:firstLine="480" w:firstLineChars="150"/>
        <w:outlineLvl w:val="1"/>
        <w:rPr>
          <w:rStyle w:val="29"/>
          <w:rFonts w:ascii="黑体" w:hAnsi="黑体" w:eastAsia="黑体"/>
          <w:b w:val="0"/>
        </w:rPr>
      </w:pPr>
      <w:bookmarkStart w:id="81" w:name="_Toc877445439"/>
      <w:bookmarkStart w:id="82" w:name="_Toc2136236326"/>
      <w:bookmarkStart w:id="83" w:name="_Toc1246800081"/>
      <w:bookmarkStart w:id="84" w:name="_Toc15396606"/>
      <w:bookmarkStart w:id="85" w:name="_Toc1981474010"/>
      <w:bookmarkStart w:id="86"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81"/>
      <w:bookmarkEnd w:id="82"/>
      <w:bookmarkEnd w:id="83"/>
      <w:bookmarkEnd w:id="84"/>
      <w:bookmarkEnd w:id="85"/>
      <w:bookmarkEnd w:id="86"/>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sz w:val="32"/>
          <w:szCs w:val="32"/>
        </w:rPr>
      </w:pPr>
      <w:bookmarkStart w:id="87" w:name="_Toc15396607"/>
      <w:bookmarkStart w:id="88" w:name="_Toc15377209"/>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3494.21</w:t>
      </w:r>
      <w:r>
        <w:rPr>
          <w:rFonts w:hint="eastAsia" w:ascii="仿宋" w:hAnsi="仿宋" w:eastAsia="仿宋"/>
          <w:sz w:val="32"/>
          <w:szCs w:val="32"/>
        </w:rPr>
        <w:t>万元。</w:t>
      </w:r>
      <w:r>
        <w:rPr>
          <w:rFonts w:hint="default" w:ascii="仿宋" w:hAnsi="仿宋" w:eastAsia="仿宋" w:cs="仿宋"/>
          <w:kern w:val="2"/>
          <w:sz w:val="32"/>
          <w:szCs w:val="32"/>
          <w:lang w:val="en-US" w:eastAsia="zh-CN" w:bidi="ar"/>
        </w:rPr>
        <w:t>与</w:t>
      </w:r>
      <w:r>
        <w:rPr>
          <w:rFonts w:hint="default" w:ascii="仿宋" w:hAnsi="仿宋" w:eastAsia="仿宋" w:cs="Times New Roman"/>
          <w:kern w:val="2"/>
          <w:sz w:val="32"/>
          <w:szCs w:val="32"/>
          <w:lang w:val="en-US" w:eastAsia="zh-CN" w:bidi="ar"/>
        </w:rPr>
        <w:t>20</w:t>
      </w:r>
      <w:r>
        <w:rPr>
          <w:rFonts w:hint="default" w:ascii="仿宋" w:hAnsi="仿宋" w:eastAsia="仿宋" w:cs="仿宋"/>
          <w:kern w:val="2"/>
          <w:sz w:val="32"/>
          <w:szCs w:val="32"/>
          <w:lang w:val="en-US" w:eastAsia="zh-CN" w:bidi="ar"/>
        </w:rPr>
        <w:t>21年相比，财政拨款收、支总计各增加</w:t>
      </w:r>
      <w:r>
        <w:rPr>
          <w:rFonts w:hint="eastAsia" w:ascii="仿宋" w:hAnsi="仿宋" w:eastAsia="仿宋"/>
          <w:sz w:val="32"/>
          <w:szCs w:val="32"/>
          <w:lang w:val="en-US" w:eastAsia="zh-CN"/>
        </w:rPr>
        <w:t>1692.78万元，</w:t>
      </w:r>
      <w:r>
        <w:rPr>
          <w:rFonts w:hint="eastAsia" w:ascii="仿宋" w:hAnsi="仿宋" w:eastAsia="仿宋"/>
          <w:sz w:val="32"/>
          <w:szCs w:val="32"/>
        </w:rPr>
        <w:t>增长</w:t>
      </w:r>
      <w:r>
        <w:rPr>
          <w:rFonts w:hint="eastAsia" w:ascii="仿宋" w:hAnsi="仿宋" w:eastAsia="仿宋"/>
          <w:sz w:val="32"/>
          <w:szCs w:val="32"/>
          <w:lang w:val="en-US" w:eastAsia="zh-CN"/>
        </w:rPr>
        <w:t>93.97</w:t>
      </w:r>
      <w:r>
        <w:rPr>
          <w:rFonts w:ascii="仿宋" w:hAnsi="仿宋" w:eastAsia="仿宋"/>
          <w:sz w:val="32"/>
          <w:szCs w:val="32"/>
        </w:rPr>
        <w:t>%</w:t>
      </w:r>
      <w:r>
        <w:rPr>
          <w:rFonts w:hint="eastAsia" w:ascii="仿宋" w:hAnsi="仿宋" w:eastAsia="仿宋"/>
          <w:sz w:val="32"/>
          <w:szCs w:val="32"/>
        </w:rPr>
        <w:t>。主要变动原因是202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拆迁资金、项目建设资金</w:t>
      </w:r>
      <w:r>
        <w:rPr>
          <w:rFonts w:hint="eastAsia" w:ascii="仿宋" w:hAnsi="仿宋" w:eastAsia="仿宋"/>
          <w:sz w:val="32"/>
          <w:szCs w:val="32"/>
        </w:rPr>
        <w:t>增加。</w:t>
      </w:r>
    </w:p>
    <w:p>
      <w:pPr>
        <w:pStyle w:val="2"/>
        <w:rPr>
          <w:rFonts w:hint="eastAsia"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411480</wp:posOffset>
            </wp:positionH>
            <wp:positionV relativeFrom="page">
              <wp:posOffset>2349500</wp:posOffset>
            </wp:positionV>
            <wp:extent cx="5039360" cy="3411855"/>
            <wp:effectExtent l="4445" t="4445" r="23495"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b/>
          <w:bCs/>
          <w:sz w:val="32"/>
          <w:szCs w:val="32"/>
        </w:rPr>
        <w:t>（图4：财政拨款收、支决算总计变动情况）</w:t>
      </w:r>
    </w:p>
    <w:p>
      <w:pPr>
        <w:pStyle w:val="4"/>
        <w:bidi w:val="0"/>
        <w:rPr>
          <w:rStyle w:val="29"/>
          <w:rFonts w:hint="eastAsia" w:ascii="黑体" w:hAnsi="黑体" w:eastAsia="黑体"/>
          <w:b w:val="0"/>
          <w:bCs/>
          <w:lang w:val="en-US" w:eastAsia="zh-CN" w:bidi="ar-SA"/>
        </w:rPr>
      </w:pPr>
      <w:bookmarkStart w:id="89" w:name="_Toc1847388643"/>
      <w:r>
        <w:rPr>
          <w:rStyle w:val="29"/>
          <w:rFonts w:hint="eastAsia" w:ascii="黑体" w:hAnsi="黑体" w:eastAsia="黑体"/>
          <w:b w:val="0"/>
          <w:bCs/>
          <w:lang w:val="en-US" w:eastAsia="zh-CN" w:bidi="ar-SA"/>
        </w:rPr>
        <w:t>五、一般公共预算财政拨款支出决算情况说明</w:t>
      </w:r>
      <w:bookmarkEnd w:id="87"/>
      <w:bookmarkEnd w:id="88"/>
      <w:bookmarkEnd w:id="89"/>
    </w:p>
    <w:p>
      <w:pPr>
        <w:spacing w:line="600" w:lineRule="exact"/>
        <w:ind w:firstLine="642" w:firstLineChars="200"/>
        <w:outlineLvl w:val="2"/>
        <w:rPr>
          <w:rFonts w:ascii="仿宋" w:hAnsi="仿宋" w:eastAsia="仿宋"/>
          <w:b/>
          <w:sz w:val="32"/>
          <w:szCs w:val="32"/>
        </w:rPr>
      </w:pPr>
      <w:bookmarkStart w:id="90" w:name="_Toc2003242809"/>
      <w:bookmarkStart w:id="91" w:name="_Toc1168504642"/>
      <w:bookmarkStart w:id="92" w:name="_Toc15377210"/>
      <w:r>
        <w:rPr>
          <w:rFonts w:hint="eastAsia" w:ascii="仿宋" w:hAnsi="仿宋" w:eastAsia="仿宋"/>
          <w:b/>
          <w:sz w:val="32"/>
          <w:szCs w:val="32"/>
        </w:rPr>
        <w:t>（一）一般公共预算财政拨款支出决算总体情况</w:t>
      </w:r>
      <w:bookmarkEnd w:id="90"/>
      <w:bookmarkEnd w:id="91"/>
      <w:bookmarkEnd w:id="92"/>
    </w:p>
    <w:p>
      <w:pPr>
        <w:spacing w:line="600" w:lineRule="exact"/>
        <w:ind w:firstLine="640" w:firstLineChars="200"/>
        <w:rPr>
          <w:rFonts w:hint="default"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年一般公共预算财政拨款支出</w:t>
      </w:r>
      <w:r>
        <w:rPr>
          <w:rFonts w:hint="default" w:ascii="仿宋" w:hAnsi="仿宋" w:eastAsia="仿宋"/>
          <w:sz w:val="32"/>
          <w:szCs w:val="32"/>
          <w:highlight w:val="none"/>
        </w:rPr>
        <w:t>1742.37</w:t>
      </w:r>
      <w:r>
        <w:rPr>
          <w:rFonts w:hint="eastAsia" w:ascii="仿宋" w:hAnsi="仿宋" w:eastAsia="仿宋"/>
          <w:sz w:val="32"/>
          <w:szCs w:val="32"/>
          <w:highlight w:val="none"/>
        </w:rPr>
        <w:t>万元，占本年支出合计的</w:t>
      </w:r>
      <w:r>
        <w:rPr>
          <w:rFonts w:hint="eastAsia" w:ascii="仿宋" w:hAnsi="仿宋" w:eastAsia="仿宋"/>
          <w:sz w:val="32"/>
          <w:szCs w:val="32"/>
          <w:highlight w:val="none"/>
          <w:lang w:val="en-US" w:eastAsia="zh-CN"/>
        </w:rPr>
        <w:t>49.86</w:t>
      </w:r>
      <w:r>
        <w:rPr>
          <w:rFonts w:ascii="仿宋" w:hAnsi="仿宋" w:eastAsia="仿宋"/>
          <w:sz w:val="32"/>
          <w:szCs w:val="32"/>
          <w:highlight w:val="none"/>
        </w:rPr>
        <w:t>%</w:t>
      </w:r>
      <w:r>
        <w:rPr>
          <w:rFonts w:hint="eastAsia" w:ascii="仿宋" w:hAnsi="仿宋" w:eastAsia="仿宋"/>
          <w:sz w:val="32"/>
          <w:szCs w:val="32"/>
          <w:highlight w:val="none"/>
        </w:rPr>
        <w:t>。与</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年相比，一般公共预算财政拨款支出</w:t>
      </w:r>
      <w:r>
        <w:rPr>
          <w:rFonts w:hint="default" w:ascii="仿宋" w:hAnsi="仿宋" w:eastAsia="仿宋"/>
          <w:sz w:val="32"/>
          <w:szCs w:val="32"/>
          <w:highlight w:val="none"/>
        </w:rPr>
        <w:t>减少 59.06万元，</w:t>
      </w:r>
      <w:r>
        <w:rPr>
          <w:rFonts w:ascii="仿宋" w:hAnsi="仿宋" w:eastAsia="仿宋"/>
          <w:sz w:val="32"/>
          <w:szCs w:val="32"/>
          <w:highlight w:val="none"/>
        </w:rPr>
        <w:t>减少3.28%</w:t>
      </w:r>
      <w:r>
        <w:rPr>
          <w:rFonts w:hint="eastAsia" w:ascii="仿宋" w:hAnsi="仿宋" w:eastAsia="仿宋"/>
          <w:sz w:val="32"/>
          <w:szCs w:val="32"/>
          <w:highlight w:val="none"/>
        </w:rPr>
        <w:t>。主要变动原因是202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一般公共预算财政拨款支出减少，政府基金预算财政拨款支出</w:t>
      </w:r>
      <w:r>
        <w:rPr>
          <w:rFonts w:hint="eastAsia" w:ascii="仿宋" w:hAnsi="仿宋" w:eastAsia="仿宋"/>
          <w:sz w:val="32"/>
          <w:szCs w:val="32"/>
          <w:highlight w:val="none"/>
        </w:rPr>
        <w:t>增加。</w:t>
      </w:r>
    </w:p>
    <w:p>
      <w:pPr>
        <w:pStyle w:val="6"/>
        <w:rPr>
          <w:rFonts w:hint="eastAsia"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375920</wp:posOffset>
            </wp:positionH>
            <wp:positionV relativeFrom="page">
              <wp:posOffset>939800</wp:posOffset>
            </wp:positionV>
            <wp:extent cx="5039360" cy="3411855"/>
            <wp:effectExtent l="4445" t="4445" r="23495" b="1270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b/>
          <w:bCs/>
          <w:sz w:val="32"/>
          <w:szCs w:val="32"/>
        </w:rPr>
        <w:t>（图5：一般公共预算财政拨款支出决算变动情况）</w:t>
      </w:r>
    </w:p>
    <w:p>
      <w:pPr>
        <w:spacing w:line="600" w:lineRule="exact"/>
        <w:ind w:firstLine="321" w:firstLineChars="100"/>
        <w:outlineLvl w:val="2"/>
        <w:rPr>
          <w:rFonts w:ascii="仿宋" w:hAnsi="仿宋" w:eastAsia="仿宋"/>
          <w:b/>
          <w:sz w:val="32"/>
          <w:szCs w:val="32"/>
        </w:rPr>
      </w:pPr>
      <w:bookmarkStart w:id="93" w:name="_Toc1328854657"/>
      <w:bookmarkStart w:id="94" w:name="_Toc2011661834"/>
      <w:bookmarkStart w:id="95" w:name="_Toc15377211"/>
      <w:r>
        <w:rPr>
          <w:rFonts w:hint="eastAsia" w:ascii="仿宋" w:hAnsi="仿宋" w:eastAsia="仿宋"/>
          <w:b/>
          <w:sz w:val="32"/>
          <w:szCs w:val="32"/>
        </w:rPr>
        <w:t>（二）一般公共预算财政拨款支出决算结构情况</w:t>
      </w:r>
      <w:bookmarkEnd w:id="93"/>
      <w:bookmarkEnd w:id="94"/>
      <w:bookmarkEnd w:id="95"/>
    </w:p>
    <w:p>
      <w:pPr>
        <w:spacing w:line="600" w:lineRule="exact"/>
        <w:ind w:firstLine="640"/>
        <w:rPr>
          <w:rFonts w:hint="default"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default" w:ascii="仿宋" w:hAnsi="仿宋" w:eastAsia="仿宋"/>
          <w:sz w:val="32"/>
          <w:szCs w:val="32"/>
          <w:lang w:eastAsia="zh-CN"/>
        </w:rPr>
        <w:t>1742.37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ascii="仿宋" w:hAnsi="仿宋" w:eastAsia="仿宋"/>
          <w:sz w:val="32"/>
          <w:szCs w:val="32"/>
          <w:lang w:val="en-US" w:eastAsia="zh-CN"/>
        </w:rPr>
        <w:t>688.60</w:t>
      </w:r>
      <w:r>
        <w:rPr>
          <w:rFonts w:hint="eastAsia" w:ascii="仿宋" w:hAnsi="仿宋" w:eastAsia="仿宋"/>
          <w:sz w:val="32"/>
          <w:szCs w:val="32"/>
        </w:rPr>
        <w:t>万元，占</w:t>
      </w:r>
      <w:r>
        <w:rPr>
          <w:rFonts w:hint="default" w:ascii="仿宋" w:hAnsi="仿宋" w:eastAsia="仿宋"/>
          <w:sz w:val="32"/>
          <w:szCs w:val="32"/>
        </w:rPr>
        <w:t>39.52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公共安全支</w:t>
      </w:r>
      <w:r>
        <w:rPr>
          <w:rFonts w:hint="eastAsia" w:ascii="仿宋" w:hAnsi="仿宋" w:eastAsia="仿宋"/>
          <w:b/>
          <w:sz w:val="32"/>
          <w:szCs w:val="32"/>
        </w:rPr>
        <w:t>出（类）</w:t>
      </w:r>
      <w:r>
        <w:rPr>
          <w:rFonts w:hint="eastAsia" w:ascii="仿宋" w:hAnsi="仿宋" w:eastAsia="仿宋"/>
          <w:sz w:val="32"/>
          <w:szCs w:val="32"/>
        </w:rPr>
        <w:t>9万元，占</w:t>
      </w:r>
      <w:r>
        <w:rPr>
          <w:rFonts w:hint="default" w:ascii="仿宋" w:hAnsi="仿宋" w:eastAsia="仿宋"/>
          <w:sz w:val="32"/>
          <w:szCs w:val="32"/>
        </w:rPr>
        <w:t>0.52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156.37</w:t>
      </w:r>
      <w:r>
        <w:rPr>
          <w:rFonts w:hint="eastAsia" w:ascii="仿宋" w:hAnsi="仿宋" w:eastAsia="仿宋"/>
          <w:sz w:val="32"/>
          <w:szCs w:val="32"/>
        </w:rPr>
        <w:t>万元，占</w:t>
      </w:r>
      <w:r>
        <w:rPr>
          <w:rFonts w:hint="default" w:ascii="仿宋" w:hAnsi="仿宋" w:eastAsia="仿宋"/>
          <w:sz w:val="32"/>
          <w:szCs w:val="32"/>
        </w:rPr>
        <w:t>8.98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53.91</w:t>
      </w:r>
      <w:r>
        <w:rPr>
          <w:rFonts w:hint="eastAsia" w:ascii="仿宋" w:hAnsi="仿宋" w:eastAsia="仿宋"/>
          <w:sz w:val="32"/>
          <w:szCs w:val="32"/>
        </w:rPr>
        <w:t>万元，占</w:t>
      </w:r>
      <w:r>
        <w:rPr>
          <w:rFonts w:hint="default" w:ascii="仿宋" w:hAnsi="仿宋" w:eastAsia="仿宋"/>
          <w:sz w:val="32"/>
          <w:szCs w:val="32"/>
        </w:rPr>
        <w:t>3.09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w:t>
      </w:r>
      <w:r>
        <w:rPr>
          <w:rFonts w:hint="default" w:ascii="仿宋" w:hAnsi="仿宋" w:eastAsia="仿宋"/>
          <w:sz w:val="32"/>
          <w:szCs w:val="32"/>
          <w:lang w:eastAsia="zh-CN"/>
        </w:rPr>
        <w:t>30.12</w:t>
      </w:r>
      <w:r>
        <w:rPr>
          <w:rFonts w:hint="eastAsia" w:ascii="仿宋" w:hAnsi="仿宋" w:eastAsia="仿宋"/>
          <w:sz w:val="32"/>
          <w:szCs w:val="32"/>
        </w:rPr>
        <w:t>万元，占</w:t>
      </w:r>
      <w:r>
        <w:rPr>
          <w:rFonts w:hint="default" w:ascii="仿宋" w:hAnsi="仿宋" w:eastAsia="仿宋"/>
          <w:sz w:val="32"/>
          <w:szCs w:val="32"/>
        </w:rPr>
        <w:t>1.73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lang w:val="en-US" w:eastAsia="zh-CN"/>
        </w:rPr>
        <w:t>620.01</w:t>
      </w:r>
      <w:r>
        <w:rPr>
          <w:rFonts w:hint="eastAsia" w:ascii="仿宋" w:hAnsi="仿宋" w:eastAsia="仿宋"/>
          <w:sz w:val="32"/>
          <w:szCs w:val="32"/>
        </w:rPr>
        <w:t>万元，占</w:t>
      </w:r>
      <w:r>
        <w:rPr>
          <w:rFonts w:hint="default" w:ascii="仿宋" w:hAnsi="仿宋" w:eastAsia="仿宋"/>
          <w:sz w:val="32"/>
          <w:szCs w:val="32"/>
        </w:rPr>
        <w:t>35.58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交通运输</w:t>
      </w:r>
      <w:r>
        <w:rPr>
          <w:rFonts w:hint="eastAsia" w:ascii="仿宋" w:hAnsi="仿宋" w:eastAsia="仿宋"/>
          <w:b/>
          <w:bCs/>
          <w:sz w:val="32"/>
          <w:szCs w:val="32"/>
        </w:rPr>
        <w:t>支出</w:t>
      </w:r>
      <w:r>
        <w:rPr>
          <w:rFonts w:hint="eastAsia" w:ascii="仿宋" w:hAnsi="仿宋" w:eastAsia="仿宋"/>
          <w:sz w:val="32"/>
          <w:szCs w:val="32"/>
          <w:lang w:val="en-US" w:eastAsia="zh-CN"/>
        </w:rPr>
        <w:t>101</w:t>
      </w:r>
      <w:r>
        <w:rPr>
          <w:rFonts w:hint="eastAsia" w:ascii="仿宋" w:hAnsi="仿宋" w:eastAsia="仿宋"/>
          <w:sz w:val="32"/>
          <w:szCs w:val="32"/>
        </w:rPr>
        <w:t>万元，占</w:t>
      </w:r>
      <w:r>
        <w:rPr>
          <w:rFonts w:hint="default" w:ascii="仿宋" w:hAnsi="仿宋" w:eastAsia="仿宋"/>
          <w:sz w:val="32"/>
          <w:szCs w:val="32"/>
        </w:rPr>
        <w:t>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49.36</w:t>
      </w:r>
      <w:r>
        <w:rPr>
          <w:rFonts w:hint="eastAsia" w:ascii="仿宋" w:hAnsi="仿宋" w:eastAsia="仿宋"/>
          <w:sz w:val="32"/>
          <w:szCs w:val="32"/>
        </w:rPr>
        <w:t>万元，占</w:t>
      </w:r>
      <w:r>
        <w:rPr>
          <w:rFonts w:hint="default" w:ascii="仿宋" w:hAnsi="仿宋" w:eastAsia="仿宋"/>
          <w:sz w:val="32"/>
          <w:szCs w:val="32"/>
        </w:rPr>
        <w:t>2.83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lang w:val="en-US" w:eastAsia="zh-CN"/>
        </w:rPr>
        <w:t>34</w:t>
      </w:r>
      <w:r>
        <w:rPr>
          <w:rFonts w:hint="eastAsia" w:ascii="仿宋" w:hAnsi="仿宋" w:eastAsia="仿宋"/>
          <w:sz w:val="32"/>
          <w:szCs w:val="32"/>
        </w:rPr>
        <w:t>万元，占</w:t>
      </w:r>
      <w:r>
        <w:rPr>
          <w:rFonts w:hint="default" w:ascii="仿宋" w:hAnsi="仿宋" w:eastAsia="仿宋"/>
          <w:sz w:val="32"/>
          <w:szCs w:val="32"/>
        </w:rPr>
        <w:t>1.95</w:t>
      </w:r>
      <w:r>
        <w:rPr>
          <w:rFonts w:ascii="仿宋" w:hAnsi="仿宋" w:eastAsia="仿宋"/>
          <w:sz w:val="32"/>
          <w:szCs w:val="32"/>
        </w:rPr>
        <w:t>%。</w:t>
      </w:r>
    </w:p>
    <w:p>
      <w:pPr>
        <w:spacing w:line="600" w:lineRule="exact"/>
        <w:ind w:firstLine="640"/>
        <w:rPr>
          <w:rFonts w:hint="eastAsia"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176530</wp:posOffset>
            </wp:positionH>
            <wp:positionV relativeFrom="paragraph">
              <wp:posOffset>200025</wp:posOffset>
            </wp:positionV>
            <wp:extent cx="5353050" cy="3916045"/>
            <wp:effectExtent l="4445" t="4445" r="14605" b="2286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hint="eastAsia" w:ascii="仿宋" w:hAnsi="仿宋" w:eastAsia="仿宋"/>
          <w:sz w:val="32"/>
          <w:szCs w:val="32"/>
        </w:rPr>
      </w:pPr>
    </w:p>
    <w:p>
      <w:pPr>
        <w:pStyle w:val="2"/>
        <w:ind w:firstLine="963" w:firstLineChars="300"/>
        <w:rPr>
          <w:rFonts w:hint="eastAsia" w:ascii="仿宋" w:hAnsi="仿宋" w:eastAsia="仿宋"/>
          <w:b/>
          <w:bCs/>
          <w:sz w:val="32"/>
          <w:szCs w:val="32"/>
        </w:rPr>
      </w:pPr>
      <w:r>
        <w:rPr>
          <w:rFonts w:hint="eastAsia" w:ascii="仿宋" w:hAnsi="仿宋" w:eastAsia="仿宋"/>
          <w:b/>
          <w:bCs/>
          <w:sz w:val="32"/>
          <w:szCs w:val="32"/>
        </w:rPr>
        <w:t>（图</w:t>
      </w:r>
      <w:r>
        <w:rPr>
          <w:rFonts w:hint="eastAsia" w:ascii="仿宋" w:hAnsi="仿宋" w:eastAsia="仿宋"/>
          <w:b/>
          <w:bCs/>
          <w:sz w:val="32"/>
          <w:szCs w:val="32"/>
          <w:lang w:val="en-US" w:eastAsia="zh-CN"/>
        </w:rPr>
        <w:t>6</w:t>
      </w:r>
      <w:r>
        <w:rPr>
          <w:rFonts w:hint="eastAsia" w:ascii="仿宋" w:hAnsi="仿宋" w:eastAsia="仿宋"/>
          <w:b/>
          <w:bCs/>
          <w:sz w:val="32"/>
          <w:szCs w:val="32"/>
        </w:rPr>
        <w:t>：一般公共预算财政拨款支出</w:t>
      </w:r>
      <w:r>
        <w:rPr>
          <w:rFonts w:hint="eastAsia" w:ascii="仿宋" w:hAnsi="仿宋" w:eastAsia="仿宋"/>
          <w:b/>
          <w:bCs/>
          <w:sz w:val="32"/>
          <w:szCs w:val="32"/>
          <w:lang w:eastAsia="zh-CN"/>
        </w:rPr>
        <w:t>决算结构</w:t>
      </w:r>
      <w:r>
        <w:rPr>
          <w:rFonts w:hint="eastAsia" w:ascii="仿宋" w:hAnsi="仿宋" w:eastAsia="仿宋"/>
          <w:b/>
          <w:bCs/>
          <w:sz w:val="32"/>
          <w:szCs w:val="32"/>
        </w:rPr>
        <w:t>）</w:t>
      </w:r>
    </w:p>
    <w:p>
      <w:pPr>
        <w:pStyle w:val="2"/>
        <w:ind w:left="0" w:leftChars="0" w:firstLine="0" w:firstLineChars="0"/>
        <w:rPr>
          <w:rFonts w:ascii="仿宋" w:hAnsi="仿宋" w:eastAsia="仿宋"/>
          <w:b/>
          <w:sz w:val="32"/>
          <w:szCs w:val="32"/>
        </w:rPr>
      </w:pPr>
      <w:bookmarkStart w:id="96" w:name="_Toc15377212"/>
      <w:r>
        <w:rPr>
          <w:rFonts w:hint="default" w:ascii="仿宋" w:hAnsi="仿宋" w:eastAsia="仿宋"/>
          <w:b/>
          <w:sz w:val="32"/>
          <w:szCs w:val="32"/>
        </w:rPr>
        <w:t xml:space="preserve"> </w:t>
      </w:r>
      <w:r>
        <w:rPr>
          <w:rFonts w:hint="eastAsia" w:ascii="仿宋" w:hAnsi="仿宋" w:eastAsia="仿宋"/>
          <w:b/>
          <w:sz w:val="32"/>
          <w:szCs w:val="32"/>
        </w:rPr>
        <w:t>（三）一般公共预算财政拨款支出决算具体情况</w:t>
      </w:r>
      <w:bookmarkEnd w:id="96"/>
    </w:p>
    <w:p>
      <w:pPr>
        <w:spacing w:line="600" w:lineRule="exact"/>
        <w:ind w:firstLine="642" w:firstLineChars="200"/>
        <w:outlineLvl w:val="2"/>
        <w:rPr>
          <w:rFonts w:ascii="仿宋" w:hAnsi="仿宋" w:eastAsia="仿宋"/>
          <w:color w:val="FF0000"/>
          <w:sz w:val="32"/>
          <w:szCs w:val="32"/>
        </w:rPr>
      </w:pPr>
      <w:bookmarkStart w:id="97" w:name="_Toc15377444"/>
      <w:bookmarkStart w:id="98" w:name="_Toc15377213"/>
      <w:bookmarkStart w:id="99" w:name="_Toc15378460"/>
      <w:bookmarkStart w:id="100" w:name="_Toc1220535087"/>
      <w:bookmarkStart w:id="101" w:name="_Toc1415736060"/>
      <w:r>
        <w:rPr>
          <w:rFonts w:hint="eastAsia" w:ascii="仿宋" w:hAnsi="仿宋" w:eastAsia="仿宋"/>
          <w:b/>
          <w:sz w:val="32"/>
          <w:szCs w:val="32"/>
        </w:rPr>
        <w:t>202</w:t>
      </w:r>
      <w:bookmarkEnd w:id="97"/>
      <w:bookmarkEnd w:id="98"/>
      <w:bookmarkEnd w:id="99"/>
      <w:r>
        <w:rPr>
          <w:rFonts w:hint="eastAsia" w:ascii="仿宋" w:hAnsi="仿宋" w:eastAsia="仿宋"/>
          <w:b/>
          <w:sz w:val="32"/>
          <w:szCs w:val="32"/>
          <w:lang w:val="en-US" w:eastAsia="zh-CN"/>
        </w:rPr>
        <w:t>2</w:t>
      </w:r>
      <w:r>
        <w:rPr>
          <w:rFonts w:hint="eastAsia" w:ascii="仿宋" w:hAnsi="仿宋" w:eastAsia="仿宋"/>
          <w:b/>
          <w:color w:val="000000"/>
          <w:sz w:val="32"/>
          <w:szCs w:val="32"/>
        </w:rPr>
        <w:t>年一般公共预算支出决算数为</w:t>
      </w:r>
      <w:r>
        <w:rPr>
          <w:rFonts w:hint="default" w:ascii="仿宋" w:hAnsi="仿宋" w:eastAsia="仿宋"/>
          <w:b/>
          <w:color w:val="000000"/>
          <w:sz w:val="32"/>
          <w:szCs w:val="32"/>
        </w:rPr>
        <w:t>1742.37</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8"/>
          <w:rFonts w:hint="eastAsia" w:ascii="仿宋" w:hAnsi="仿宋" w:eastAsia="仿宋"/>
          <w:bCs/>
          <w:color w:val="000000"/>
          <w:sz w:val="32"/>
          <w:szCs w:val="32"/>
        </w:rPr>
        <w:t>完成预算100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100"/>
      <w:bookmarkEnd w:id="101"/>
    </w:p>
    <w:p>
      <w:pPr>
        <w:numPr>
          <w:ilvl w:val="0"/>
          <w:numId w:val="2"/>
        </w:numPr>
        <w:tabs>
          <w:tab w:val="clear" w:pos="425"/>
        </w:tabs>
        <w:spacing w:line="600" w:lineRule="exact"/>
        <w:ind w:left="425" w:leftChars="0" w:firstLine="642" w:firstLineChars="200"/>
        <w:jc w:val="both"/>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一般公共服务支出（类）政府办公厅（室）及相关机构事务（款）行政运行（项）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529.32</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numPr>
          <w:ilvl w:val="0"/>
          <w:numId w:val="2"/>
        </w:numPr>
        <w:tabs>
          <w:tab w:val="clear" w:pos="425"/>
        </w:tabs>
        <w:ind w:left="425" w:leftChars="0" w:firstLine="642" w:firstLineChars="200"/>
        <w:jc w:val="both"/>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一般公共服务支出（类）政府办公厅（室）及相关机构事务（款）一般行政管理事务（项）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支出决算为120.3万元，完成预算100%。</w:t>
      </w:r>
    </w:p>
    <w:p>
      <w:pPr>
        <w:pStyle w:val="2"/>
        <w:numPr>
          <w:ilvl w:val="0"/>
          <w:numId w:val="2"/>
        </w:numPr>
        <w:tabs>
          <w:tab w:val="clear" w:pos="425"/>
        </w:tabs>
        <w:ind w:left="425" w:leftChars="0" w:firstLine="642" w:firstLineChars="200"/>
        <w:jc w:val="both"/>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一般公共服务支出（类）政府办公厅（室）及相关机构事务（款）机关服务（项）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支出决算为15.48万元，完成预算100%。</w:t>
      </w:r>
    </w:p>
    <w:p>
      <w:pPr>
        <w:pStyle w:val="2"/>
        <w:numPr>
          <w:ilvl w:val="0"/>
          <w:numId w:val="2"/>
        </w:numPr>
        <w:tabs>
          <w:tab w:val="clear" w:pos="425"/>
        </w:tabs>
        <w:ind w:left="425" w:leftChars="0" w:firstLine="600" w:firstLineChars="200"/>
        <w:jc w:val="both"/>
        <w:rPr>
          <w:rStyle w:val="18"/>
          <w:rFonts w:hint="eastAsia" w:ascii="仿宋" w:hAnsi="仿宋" w:eastAsia="仿宋" w:cs="仿宋"/>
          <w:b w:val="0"/>
          <w:bCs/>
          <w:color w:val="000000"/>
          <w:kern w:val="2"/>
          <w:sz w:val="32"/>
          <w:szCs w:val="32"/>
          <w:lang w:val="en-US" w:eastAsia="zh-CN" w:bidi="ar-SA"/>
        </w:rPr>
      </w:pPr>
      <w:r>
        <w:rPr>
          <w:rFonts w:hint="eastAsia"/>
          <w:lang w:val="en-US" w:eastAsia="zh-CN"/>
        </w:rPr>
        <w:t>一</w:t>
      </w:r>
      <w:r>
        <w:rPr>
          <w:rStyle w:val="18"/>
          <w:rFonts w:hint="eastAsia" w:ascii="仿宋" w:hAnsi="仿宋" w:eastAsia="仿宋" w:cs="Calibri"/>
          <w:bCs/>
          <w:color w:val="000000"/>
          <w:kern w:val="2"/>
          <w:sz w:val="32"/>
          <w:szCs w:val="32"/>
          <w:lang w:val="en-US" w:eastAsia="zh-CN" w:bidi="ar-SA"/>
        </w:rPr>
        <w:t>般公共服务支出（类）政府办公厅（室）及相关机构事务（款）专项业务及机关事务管理（项）</w:t>
      </w:r>
      <w:r>
        <w:rPr>
          <w:rFonts w:hint="eastAsia"/>
          <w:lang w:val="en-US" w:eastAsia="zh-CN"/>
        </w:rPr>
        <w:t>：</w:t>
      </w:r>
      <w:r>
        <w:rPr>
          <w:rFonts w:hint="eastAsia" w:ascii="仿宋" w:hAnsi="仿宋" w:eastAsia="仿宋" w:cs="仿宋"/>
          <w:sz w:val="32"/>
          <w:szCs w:val="32"/>
          <w:lang w:val="en-US" w:eastAsia="zh-CN"/>
        </w:rPr>
        <w:t>支</w:t>
      </w:r>
      <w:r>
        <w:rPr>
          <w:rStyle w:val="18"/>
          <w:rFonts w:hint="eastAsia" w:ascii="仿宋" w:hAnsi="仿宋" w:eastAsia="仿宋" w:cs="仿宋"/>
          <w:b w:val="0"/>
          <w:bCs/>
          <w:color w:val="000000"/>
          <w:kern w:val="2"/>
          <w:sz w:val="32"/>
          <w:szCs w:val="32"/>
          <w:lang w:val="en-US" w:eastAsia="zh-CN" w:bidi="ar-SA"/>
        </w:rPr>
        <w:t>出决算为1万元，完成预算100%。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一般公共服务支出（类）纪检监察事务（款）一般行政管理事务（项）</w:t>
      </w:r>
      <w:r>
        <w:rPr>
          <w:rFonts w:hint="eastAsia"/>
          <w:b w:val="0"/>
          <w:bCs w:val="0"/>
          <w:lang w:val="en-US" w:eastAsia="zh-CN"/>
        </w:rPr>
        <w:t>：</w:t>
      </w:r>
      <w:r>
        <w:rPr>
          <w:rFonts w:hint="eastAsia"/>
          <w:b w:val="0"/>
          <w:bCs w:val="0"/>
          <w:sz w:val="32"/>
          <w:szCs w:val="32"/>
          <w:lang w:val="en-US" w:eastAsia="zh-CN"/>
        </w:rPr>
        <w:t>支出决算为2万元，完成预算100%。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一般公共服务支出（类）组织事务（款）一般行政管理事务（项）</w:t>
      </w:r>
      <w:r>
        <w:rPr>
          <w:rFonts w:hint="eastAsia"/>
          <w:b w:val="0"/>
          <w:bCs w:val="0"/>
          <w:lang w:val="en-US" w:eastAsia="zh-CN"/>
        </w:rPr>
        <w:t>：</w:t>
      </w:r>
      <w:r>
        <w:rPr>
          <w:rFonts w:hint="eastAsia"/>
          <w:b w:val="0"/>
          <w:bCs w:val="0"/>
          <w:sz w:val="32"/>
          <w:szCs w:val="32"/>
          <w:lang w:val="en-US" w:eastAsia="zh-CN"/>
        </w:rPr>
        <w:t>支出决算为4.5万元，完成预算100%。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一般公共服务支出（类）组织事务（款）其他组织事务支出（项）</w:t>
      </w:r>
      <w:r>
        <w:rPr>
          <w:rFonts w:hint="eastAsia"/>
          <w:b w:val="0"/>
          <w:bCs w:val="0"/>
          <w:lang w:val="en-US" w:eastAsia="zh-CN"/>
        </w:rPr>
        <w:t>：</w:t>
      </w:r>
      <w:r>
        <w:rPr>
          <w:rFonts w:hint="eastAsia"/>
          <w:b w:val="0"/>
          <w:bCs w:val="0"/>
          <w:sz w:val="32"/>
          <w:szCs w:val="32"/>
          <w:lang w:val="en-US" w:eastAsia="zh-CN"/>
        </w:rPr>
        <w:t>支出决算为1万元，完成预算100%。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一般公共服务支出（类）市场监督管理事务（款）其他市场监督管理事务（项）</w:t>
      </w:r>
      <w:r>
        <w:rPr>
          <w:rFonts w:hint="eastAsia"/>
          <w:b w:val="0"/>
          <w:bCs w:val="0"/>
          <w:lang w:val="en-US" w:eastAsia="zh-CN"/>
        </w:rPr>
        <w:t>：</w:t>
      </w:r>
      <w:r>
        <w:rPr>
          <w:rFonts w:hint="eastAsia"/>
          <w:b w:val="0"/>
          <w:bCs w:val="0"/>
          <w:sz w:val="32"/>
          <w:szCs w:val="32"/>
          <w:lang w:val="en-US" w:eastAsia="zh-CN"/>
        </w:rPr>
        <w:t>支出决算为3万元，完成预算100%。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一般公共服务支出（类）其他一般公共服务支出（款）其他一般公共服务支出（项）</w:t>
      </w:r>
      <w:r>
        <w:rPr>
          <w:rFonts w:hint="eastAsia"/>
          <w:b w:val="0"/>
          <w:bCs w:val="0"/>
          <w:lang w:val="en-US" w:eastAsia="zh-CN"/>
        </w:rPr>
        <w:t>：</w:t>
      </w:r>
      <w:r>
        <w:rPr>
          <w:rFonts w:hint="eastAsia"/>
          <w:b w:val="0"/>
          <w:bCs w:val="0"/>
          <w:sz w:val="32"/>
          <w:szCs w:val="32"/>
          <w:lang w:val="en-US" w:eastAsia="zh-CN"/>
        </w:rPr>
        <w:t>支出决算为12万元，完成预算100%。</w:t>
      </w:r>
    </w:p>
    <w:p>
      <w:pPr>
        <w:numPr>
          <w:ilvl w:val="0"/>
          <w:numId w:val="2"/>
        </w:numPr>
        <w:spacing w:line="600" w:lineRule="exact"/>
        <w:ind w:left="425" w:leftChars="0" w:firstLine="642" w:firstLineChars="200"/>
        <w:jc w:val="both"/>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公共安全支出（类）国家安全（款）其他国家安全支出（项）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2"/>
        </w:numPr>
        <w:spacing w:line="600" w:lineRule="exact"/>
        <w:ind w:left="425" w:leftChars="0" w:firstLine="642" w:firstLineChars="200"/>
        <w:jc w:val="both"/>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社会保障和就业（类）行政事业单位养老支出（款）行政单位离退休（项）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60.06</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社会保障和就业（类）行政事业单位养老支出（款）机关事业单位基本养老保险缴费支出（项）：</w:t>
      </w:r>
      <w:r>
        <w:rPr>
          <w:rFonts w:hint="eastAsia"/>
          <w:b w:val="0"/>
          <w:bCs w:val="0"/>
          <w:sz w:val="32"/>
          <w:szCs w:val="32"/>
          <w:lang w:val="en-US" w:eastAsia="zh-CN"/>
        </w:rPr>
        <w:t>支出决算为47.81万元，完成预算100%。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社会保障和就业（类）行政事业单位养老支出（款）机关事业单位职业年金缴费支出（项）：</w:t>
      </w:r>
      <w:r>
        <w:rPr>
          <w:rFonts w:hint="eastAsia"/>
          <w:b w:val="0"/>
          <w:bCs w:val="0"/>
          <w:sz w:val="32"/>
          <w:szCs w:val="32"/>
          <w:lang w:val="en-US" w:eastAsia="zh-CN"/>
        </w:rPr>
        <w:t>支出决算为20.67万元，完成预算100%。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社会保障和就业（类）抚恤（款）死亡抚恤（项）：</w:t>
      </w:r>
      <w:r>
        <w:rPr>
          <w:rFonts w:hint="eastAsia"/>
          <w:b w:val="0"/>
          <w:bCs w:val="0"/>
          <w:sz w:val="32"/>
          <w:szCs w:val="32"/>
          <w:lang w:val="en-US" w:eastAsia="zh-CN"/>
        </w:rPr>
        <w:t>支出决算为5.87万元，完成预算100%。</w:t>
      </w:r>
    </w:p>
    <w:p>
      <w:pPr>
        <w:pStyle w:val="2"/>
        <w:numPr>
          <w:ilvl w:val="0"/>
          <w:numId w:val="2"/>
        </w:numPr>
        <w:ind w:left="425" w:leftChars="0" w:firstLine="602" w:firstLineChars="200"/>
        <w:jc w:val="both"/>
        <w:rPr>
          <w:rFonts w:hint="eastAsia"/>
          <w:b w:val="0"/>
          <w:bCs w:val="0"/>
          <w:sz w:val="32"/>
          <w:szCs w:val="32"/>
          <w:lang w:val="en-US" w:eastAsia="zh-CN"/>
        </w:rPr>
      </w:pPr>
      <w:r>
        <w:rPr>
          <w:rFonts w:hint="eastAsia"/>
          <w:b/>
          <w:bCs/>
          <w:lang w:val="en-US" w:eastAsia="zh-CN"/>
        </w:rPr>
        <w:t>社会保障和就业（类）抚恤（款）伤残抚恤（项）：</w:t>
      </w:r>
      <w:r>
        <w:rPr>
          <w:rFonts w:hint="eastAsia"/>
          <w:b w:val="0"/>
          <w:bCs w:val="0"/>
          <w:sz w:val="32"/>
          <w:szCs w:val="32"/>
          <w:lang w:val="en-US" w:eastAsia="zh-CN"/>
        </w:rPr>
        <w:t>支出决算为1.96万元，完成预算100%。</w:t>
      </w:r>
    </w:p>
    <w:p>
      <w:pPr>
        <w:pStyle w:val="2"/>
        <w:numPr>
          <w:ilvl w:val="0"/>
          <w:numId w:val="2"/>
        </w:numPr>
        <w:ind w:left="425" w:leftChars="0" w:firstLine="642" w:firstLineChars="200"/>
        <w:jc w:val="both"/>
        <w:rPr>
          <w:rFonts w:hint="eastAsia"/>
          <w:b w:val="0"/>
          <w:bCs w:val="0"/>
          <w:sz w:val="32"/>
          <w:szCs w:val="32"/>
          <w:lang w:val="en-US" w:eastAsia="zh-CN"/>
        </w:rPr>
      </w:pPr>
      <w:r>
        <w:rPr>
          <w:rFonts w:hint="eastAsia"/>
          <w:b/>
          <w:bCs/>
          <w:sz w:val="32"/>
          <w:szCs w:val="32"/>
          <w:lang w:val="en-US" w:eastAsia="zh-CN"/>
        </w:rPr>
        <w:t>社会保障和就业（类）特困人员救助供养（款）农村特困人员救助供养支出（项）：</w:t>
      </w:r>
      <w:r>
        <w:rPr>
          <w:rFonts w:hint="eastAsia"/>
          <w:b w:val="0"/>
          <w:bCs w:val="0"/>
          <w:sz w:val="32"/>
          <w:szCs w:val="32"/>
          <w:lang w:val="en-US" w:eastAsia="zh-CN"/>
        </w:rPr>
        <w:t>支出决算为20万元，完成预算100%。</w:t>
      </w:r>
    </w:p>
    <w:p>
      <w:pPr>
        <w:numPr>
          <w:ilvl w:val="0"/>
          <w:numId w:val="2"/>
        </w:numPr>
        <w:spacing w:line="600" w:lineRule="exact"/>
        <w:ind w:left="425" w:leftChars="0" w:firstLine="642" w:firstLineChars="200"/>
        <w:jc w:val="both"/>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卫生健康支出（类）行政事业单位医疗（款）行政单位医疗（项）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23.91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2"/>
        </w:numPr>
        <w:spacing w:line="600" w:lineRule="exact"/>
        <w:ind w:left="425" w:leftChars="0" w:firstLine="642" w:firstLineChars="200"/>
        <w:jc w:val="both"/>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卫生健康支出（类）医疗救助（款）其他医疗救助支出（项）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w:t>
      </w:r>
      <w:r>
        <w:rPr>
          <w:rStyle w:val="18"/>
          <w:rFonts w:hint="eastAsia" w:ascii="仿宋" w:hAnsi="仿宋" w:eastAsia="仿宋"/>
          <w:b w:val="0"/>
          <w:bCs/>
          <w:color w:val="000000"/>
          <w:sz w:val="32"/>
          <w:szCs w:val="32"/>
          <w:lang w:val="en-US" w:eastAsia="zh-CN"/>
        </w:rPr>
        <w:t>30</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2"/>
        </w:numPr>
        <w:spacing w:line="600" w:lineRule="exact"/>
        <w:ind w:left="425" w:leftChars="0" w:firstLine="642" w:firstLineChars="200"/>
        <w:jc w:val="both"/>
        <w:rPr>
          <w:rStyle w:val="18"/>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城乡社区支出（类）城乡社区管理事务（款）城管执法（项）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numPr>
          <w:ilvl w:val="0"/>
          <w:numId w:val="2"/>
        </w:numPr>
        <w:ind w:left="425" w:leftChars="0" w:firstLine="602" w:firstLineChars="200"/>
        <w:jc w:val="both"/>
        <w:rPr>
          <w:rFonts w:hint="eastAsia"/>
          <w:sz w:val="32"/>
          <w:szCs w:val="32"/>
          <w:lang w:val="en-US" w:eastAsia="zh-CN"/>
        </w:rPr>
      </w:pPr>
      <w:r>
        <w:rPr>
          <w:rFonts w:hint="eastAsia"/>
          <w:b/>
          <w:bCs/>
          <w:lang w:val="en-US" w:eastAsia="zh-CN"/>
        </w:rPr>
        <w:t>城乡社区支出（类）城乡社区环境卫生（款）城乡社区环境卫生（项）</w:t>
      </w:r>
      <w:r>
        <w:rPr>
          <w:rFonts w:hint="eastAsia"/>
          <w:lang w:val="en-US" w:eastAsia="zh-CN"/>
        </w:rPr>
        <w:t>：</w:t>
      </w:r>
      <w:r>
        <w:rPr>
          <w:rFonts w:hint="eastAsia"/>
          <w:sz w:val="32"/>
          <w:szCs w:val="32"/>
          <w:lang w:val="en-US" w:eastAsia="zh-CN"/>
        </w:rPr>
        <w:t>支出决算为29.12万元，完成预算100%。</w:t>
      </w:r>
    </w:p>
    <w:p>
      <w:pPr>
        <w:pStyle w:val="2"/>
        <w:numPr>
          <w:ilvl w:val="0"/>
          <w:numId w:val="2"/>
        </w:numPr>
        <w:ind w:left="425" w:leftChars="0" w:firstLine="602" w:firstLineChars="200"/>
        <w:jc w:val="both"/>
        <w:rPr>
          <w:rFonts w:hint="eastAsia"/>
          <w:sz w:val="32"/>
          <w:szCs w:val="32"/>
          <w:lang w:val="en-US" w:eastAsia="zh-CN"/>
        </w:rPr>
      </w:pPr>
      <w:r>
        <w:rPr>
          <w:rFonts w:hint="default"/>
          <w:b/>
          <w:bCs/>
          <w:lang w:eastAsia="zh-CN"/>
        </w:rPr>
        <w:t>农林水支出</w:t>
      </w:r>
      <w:r>
        <w:rPr>
          <w:rFonts w:hint="eastAsia"/>
          <w:b/>
          <w:bCs/>
          <w:lang w:val="en-US" w:eastAsia="zh-CN"/>
        </w:rPr>
        <w:t>（类）</w:t>
      </w:r>
      <w:r>
        <w:rPr>
          <w:rFonts w:hint="default"/>
          <w:b/>
          <w:bCs/>
          <w:lang w:eastAsia="zh-CN"/>
        </w:rPr>
        <w:t>农业农村</w:t>
      </w:r>
      <w:r>
        <w:rPr>
          <w:rFonts w:hint="eastAsia"/>
          <w:b/>
          <w:bCs/>
          <w:lang w:val="en-US" w:eastAsia="zh-CN"/>
        </w:rPr>
        <w:t>（款）</w:t>
      </w:r>
      <w:r>
        <w:rPr>
          <w:rFonts w:hint="default"/>
          <w:b/>
          <w:bCs/>
          <w:lang w:eastAsia="zh-CN"/>
        </w:rPr>
        <w:t>病虫害控制</w:t>
      </w:r>
      <w:r>
        <w:rPr>
          <w:rFonts w:hint="eastAsia"/>
          <w:b/>
          <w:bCs/>
          <w:lang w:val="en-US" w:eastAsia="zh-CN"/>
        </w:rPr>
        <w:t>（项）</w:t>
      </w:r>
      <w:r>
        <w:rPr>
          <w:rFonts w:hint="eastAsia"/>
          <w:lang w:val="en-US" w:eastAsia="zh-CN"/>
        </w:rPr>
        <w:t>：</w:t>
      </w:r>
      <w:r>
        <w:rPr>
          <w:rFonts w:hint="eastAsia"/>
          <w:sz w:val="32"/>
          <w:szCs w:val="32"/>
          <w:lang w:val="en-US" w:eastAsia="zh-CN"/>
        </w:rPr>
        <w:t>支出决算为</w:t>
      </w:r>
      <w:r>
        <w:rPr>
          <w:rFonts w:hint="default"/>
          <w:sz w:val="32"/>
          <w:szCs w:val="32"/>
          <w:lang w:eastAsia="zh-CN"/>
        </w:rPr>
        <w:t>2.7</w:t>
      </w:r>
      <w:r>
        <w:rPr>
          <w:rFonts w:hint="eastAsia"/>
          <w:sz w:val="32"/>
          <w:szCs w:val="32"/>
          <w:lang w:val="en-US" w:eastAsia="zh-CN"/>
        </w:rPr>
        <w:t>万元，完成预算100%。</w:t>
      </w:r>
    </w:p>
    <w:p>
      <w:pPr>
        <w:pStyle w:val="2"/>
        <w:numPr>
          <w:ilvl w:val="0"/>
          <w:numId w:val="2"/>
        </w:numPr>
        <w:ind w:left="425" w:leftChars="0" w:firstLine="642" w:firstLineChars="200"/>
        <w:jc w:val="both"/>
        <w:rPr>
          <w:rStyle w:val="18"/>
          <w:rFonts w:hint="eastAsia" w:ascii="仿宋" w:hAnsi="仿宋" w:eastAsia="仿宋"/>
          <w:b w:val="0"/>
          <w:bCs/>
          <w:color w:val="000000"/>
          <w:sz w:val="32"/>
          <w:szCs w:val="32"/>
          <w:lang w:val="en-US" w:eastAsia="zh-CN"/>
        </w:rPr>
      </w:pPr>
      <w:r>
        <w:rPr>
          <w:rStyle w:val="18"/>
          <w:rFonts w:hint="default" w:ascii="仿宋" w:hAnsi="仿宋" w:eastAsia="仿宋"/>
          <w:b/>
          <w:bCs w:val="0"/>
          <w:color w:val="000000"/>
          <w:sz w:val="32"/>
          <w:szCs w:val="32"/>
          <w:lang w:eastAsia="zh-CN"/>
        </w:rPr>
        <w:t>农林水支出</w:t>
      </w:r>
      <w:r>
        <w:rPr>
          <w:rStyle w:val="18"/>
          <w:rFonts w:hint="eastAsia" w:ascii="仿宋" w:hAnsi="仿宋" w:eastAsia="仿宋"/>
          <w:b/>
          <w:bCs w:val="0"/>
          <w:color w:val="000000"/>
          <w:sz w:val="32"/>
          <w:szCs w:val="32"/>
          <w:lang w:val="en-US" w:eastAsia="zh-CN"/>
        </w:rPr>
        <w:t>（类）水利（款）防汛（项）：</w:t>
      </w:r>
      <w:r>
        <w:rPr>
          <w:rStyle w:val="18"/>
          <w:rFonts w:hint="eastAsia" w:ascii="仿宋" w:hAnsi="仿宋" w:eastAsia="仿宋"/>
          <w:b w:val="0"/>
          <w:bCs/>
          <w:color w:val="000000"/>
          <w:sz w:val="32"/>
          <w:szCs w:val="32"/>
          <w:lang w:val="en-US" w:eastAsia="zh-CN"/>
        </w:rPr>
        <w:t>支出决算为2万元，完成预算100%。</w:t>
      </w:r>
    </w:p>
    <w:p>
      <w:pPr>
        <w:pStyle w:val="2"/>
        <w:numPr>
          <w:ilvl w:val="0"/>
          <w:numId w:val="2"/>
        </w:numPr>
        <w:ind w:left="425" w:leftChars="0" w:firstLine="642" w:firstLineChars="200"/>
        <w:jc w:val="both"/>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农林水支出（类）农村综合改革（款）对村民委员会和村党支部的补助（项）:</w:t>
      </w:r>
      <w:r>
        <w:rPr>
          <w:rStyle w:val="18"/>
          <w:rFonts w:hint="eastAsia" w:ascii="仿宋" w:hAnsi="仿宋" w:eastAsia="仿宋"/>
          <w:b w:val="0"/>
          <w:bCs/>
          <w:color w:val="000000"/>
          <w:sz w:val="32"/>
          <w:szCs w:val="32"/>
          <w:lang w:val="en-US" w:eastAsia="zh-CN"/>
        </w:rPr>
        <w:t>支出决算为538.3万元，完成预算100%。</w:t>
      </w:r>
    </w:p>
    <w:p>
      <w:pPr>
        <w:pStyle w:val="2"/>
        <w:numPr>
          <w:ilvl w:val="0"/>
          <w:numId w:val="2"/>
        </w:numPr>
        <w:ind w:left="425" w:leftChars="0" w:firstLine="642" w:firstLineChars="200"/>
        <w:jc w:val="both"/>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农林水支出（类）农村综合改革（款）其他农村综合改革支出（项）:</w:t>
      </w:r>
      <w:r>
        <w:rPr>
          <w:rStyle w:val="18"/>
          <w:rFonts w:hint="eastAsia" w:ascii="仿宋" w:hAnsi="仿宋" w:eastAsia="仿宋"/>
          <w:b w:val="0"/>
          <w:bCs/>
          <w:color w:val="000000"/>
          <w:sz w:val="32"/>
          <w:szCs w:val="32"/>
          <w:lang w:val="en-US" w:eastAsia="zh-CN"/>
        </w:rPr>
        <w:t>支出决算为63万元，完成预算100%。</w:t>
      </w:r>
    </w:p>
    <w:p>
      <w:pPr>
        <w:pStyle w:val="2"/>
        <w:numPr>
          <w:ilvl w:val="0"/>
          <w:numId w:val="2"/>
        </w:numPr>
        <w:ind w:left="425" w:leftChars="0" w:firstLine="642" w:firstLineChars="200"/>
        <w:jc w:val="both"/>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农林水支出（类）其他农林水支出（款）其他农林水支出（项）:</w:t>
      </w:r>
      <w:r>
        <w:rPr>
          <w:rStyle w:val="18"/>
          <w:rFonts w:hint="eastAsia" w:ascii="仿宋" w:hAnsi="仿宋" w:eastAsia="仿宋"/>
          <w:b w:val="0"/>
          <w:bCs/>
          <w:color w:val="000000"/>
          <w:sz w:val="32"/>
          <w:szCs w:val="32"/>
          <w:lang w:val="en-US" w:eastAsia="zh-CN"/>
        </w:rPr>
        <w:t>支出决算为14.01万元，完成预算100%。</w:t>
      </w:r>
    </w:p>
    <w:p>
      <w:pPr>
        <w:pStyle w:val="2"/>
        <w:numPr>
          <w:ilvl w:val="0"/>
          <w:numId w:val="2"/>
        </w:numPr>
        <w:ind w:left="425" w:leftChars="0" w:firstLine="642" w:firstLineChars="200"/>
        <w:jc w:val="both"/>
        <w:rPr>
          <w:rStyle w:val="18"/>
          <w:rFonts w:hint="eastAsia" w:ascii="仿宋" w:hAnsi="仿宋" w:eastAsia="仿宋"/>
          <w:b/>
          <w:bCs w:val="0"/>
          <w:color w:val="000000"/>
          <w:sz w:val="32"/>
          <w:szCs w:val="32"/>
          <w:lang w:val="en-US" w:eastAsia="zh-CN"/>
        </w:rPr>
      </w:pPr>
      <w:r>
        <w:rPr>
          <w:rStyle w:val="18"/>
          <w:rFonts w:hint="eastAsia" w:ascii="仿宋" w:hAnsi="仿宋" w:eastAsia="仿宋"/>
          <w:b/>
          <w:bCs w:val="0"/>
          <w:color w:val="000000"/>
          <w:sz w:val="32"/>
          <w:szCs w:val="32"/>
          <w:lang w:val="en-US" w:eastAsia="zh-CN"/>
        </w:rPr>
        <w:t>交通运输支出（类）公路水路运输（款）公路和运输安全（项）:</w:t>
      </w:r>
      <w:r>
        <w:rPr>
          <w:rStyle w:val="18"/>
          <w:rFonts w:hint="eastAsia" w:ascii="仿宋" w:hAnsi="仿宋" w:eastAsia="仿宋"/>
          <w:b w:val="0"/>
          <w:bCs/>
          <w:color w:val="000000"/>
          <w:sz w:val="32"/>
          <w:szCs w:val="32"/>
          <w:lang w:val="en-US" w:eastAsia="zh-CN"/>
        </w:rPr>
        <w:t>支出决算为1万元，完成预算100%。</w:t>
      </w:r>
    </w:p>
    <w:p>
      <w:pPr>
        <w:pStyle w:val="2"/>
        <w:numPr>
          <w:ilvl w:val="0"/>
          <w:numId w:val="2"/>
        </w:numPr>
        <w:ind w:left="425" w:leftChars="0" w:firstLine="642" w:firstLineChars="200"/>
        <w:jc w:val="both"/>
        <w:rPr>
          <w:rStyle w:val="18"/>
          <w:rFonts w:hint="eastAsia" w:ascii="仿宋" w:hAnsi="仿宋" w:eastAsia="仿宋"/>
          <w:b/>
          <w:bCs w:val="0"/>
          <w:color w:val="000000"/>
          <w:sz w:val="32"/>
          <w:szCs w:val="32"/>
          <w:lang w:val="en-US" w:eastAsia="zh-CN"/>
        </w:rPr>
      </w:pPr>
      <w:r>
        <w:rPr>
          <w:rStyle w:val="18"/>
          <w:rFonts w:hint="eastAsia" w:ascii="仿宋" w:hAnsi="仿宋" w:eastAsia="仿宋"/>
          <w:b/>
          <w:bCs w:val="0"/>
          <w:color w:val="000000"/>
          <w:sz w:val="32"/>
          <w:szCs w:val="32"/>
          <w:lang w:val="en-US" w:eastAsia="zh-CN"/>
        </w:rPr>
        <w:t>交通运输支出（类）公路水路运输（款）其他公路水路运输支出（项）:</w:t>
      </w:r>
      <w:r>
        <w:rPr>
          <w:rStyle w:val="18"/>
          <w:rFonts w:hint="eastAsia" w:ascii="仿宋" w:hAnsi="仿宋" w:eastAsia="仿宋"/>
          <w:b w:val="0"/>
          <w:bCs/>
          <w:color w:val="000000"/>
          <w:sz w:val="32"/>
          <w:szCs w:val="32"/>
          <w:lang w:val="en-US" w:eastAsia="zh-CN"/>
        </w:rPr>
        <w:t>支出决算为100万元，完成预算100%。</w:t>
      </w:r>
    </w:p>
    <w:p>
      <w:pPr>
        <w:pStyle w:val="2"/>
        <w:numPr>
          <w:ilvl w:val="0"/>
          <w:numId w:val="2"/>
        </w:numPr>
        <w:ind w:left="425" w:leftChars="0" w:firstLine="642" w:firstLineChars="200"/>
        <w:jc w:val="both"/>
        <w:rPr>
          <w:rStyle w:val="18"/>
          <w:rFonts w:hint="eastAsia" w:ascii="仿宋" w:hAnsi="仿宋" w:eastAsia="仿宋"/>
          <w:b/>
          <w:bCs w:val="0"/>
          <w:color w:val="000000"/>
          <w:sz w:val="32"/>
          <w:szCs w:val="32"/>
          <w:lang w:val="en-US" w:eastAsia="zh-CN"/>
        </w:rPr>
      </w:pPr>
      <w:r>
        <w:rPr>
          <w:rStyle w:val="18"/>
          <w:rFonts w:hint="eastAsia" w:ascii="仿宋" w:hAnsi="仿宋" w:eastAsia="仿宋"/>
          <w:b/>
          <w:bCs/>
          <w:color w:val="000000"/>
          <w:sz w:val="32"/>
          <w:szCs w:val="32"/>
          <w:lang w:val="en-US" w:eastAsia="zh-CN"/>
        </w:rPr>
        <w:t>住房保障支出（类）住房改革支出（款）住房公积金（项）:支出决算为49.36万元，完成预算100%</w:t>
      </w:r>
      <w:r>
        <w:rPr>
          <w:rStyle w:val="18"/>
          <w:rFonts w:hint="eastAsia" w:ascii="仿宋" w:hAnsi="仿宋" w:eastAsia="仿宋"/>
          <w:b w:val="0"/>
          <w:bCs/>
          <w:color w:val="000000"/>
          <w:sz w:val="32"/>
          <w:szCs w:val="32"/>
          <w:lang w:val="en-US" w:eastAsia="zh-CN"/>
        </w:rPr>
        <w:t>。</w:t>
      </w:r>
    </w:p>
    <w:p>
      <w:pPr>
        <w:pStyle w:val="2"/>
        <w:numPr>
          <w:ilvl w:val="0"/>
          <w:numId w:val="2"/>
        </w:numPr>
        <w:ind w:left="425" w:leftChars="0" w:firstLine="642" w:firstLineChars="200"/>
        <w:jc w:val="both"/>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灾害防治及应急管理支出（类）应急管理事务（款）安全监管（项）:</w:t>
      </w:r>
      <w:r>
        <w:rPr>
          <w:rStyle w:val="18"/>
          <w:rFonts w:hint="eastAsia" w:ascii="仿宋" w:hAnsi="仿宋" w:eastAsia="仿宋"/>
          <w:b w:val="0"/>
          <w:bCs/>
          <w:color w:val="000000"/>
          <w:sz w:val="32"/>
          <w:szCs w:val="32"/>
          <w:lang w:val="en-US" w:eastAsia="zh-CN"/>
        </w:rPr>
        <w:t>支出决算为1万元，完成预算100%。</w:t>
      </w:r>
    </w:p>
    <w:p>
      <w:pPr>
        <w:pStyle w:val="2"/>
        <w:numPr>
          <w:ilvl w:val="0"/>
          <w:numId w:val="2"/>
        </w:numPr>
        <w:ind w:left="425" w:leftChars="0" w:firstLine="642" w:firstLineChars="200"/>
        <w:jc w:val="both"/>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灾害防治及应急管理支出（类）应急管理事务（款）应急救援（项）:</w:t>
      </w:r>
      <w:r>
        <w:rPr>
          <w:rStyle w:val="18"/>
          <w:rFonts w:hint="eastAsia" w:ascii="仿宋" w:hAnsi="仿宋" w:eastAsia="仿宋"/>
          <w:b w:val="0"/>
          <w:bCs/>
          <w:color w:val="000000"/>
          <w:sz w:val="32"/>
          <w:szCs w:val="32"/>
          <w:lang w:val="en-US" w:eastAsia="zh-CN"/>
        </w:rPr>
        <w:t>支出决算为15万元，完成预算100%。</w:t>
      </w:r>
    </w:p>
    <w:p>
      <w:pPr>
        <w:pStyle w:val="2"/>
        <w:numPr>
          <w:ilvl w:val="0"/>
          <w:numId w:val="2"/>
        </w:numPr>
        <w:ind w:left="425" w:leftChars="0" w:firstLine="642" w:firstLineChars="200"/>
        <w:jc w:val="both"/>
        <w:rPr>
          <w:rStyle w:val="18"/>
          <w:rFonts w:hint="default"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灾害防治及应急管理支出（类）应急管理事务（款）其他应急管理支出（项）:</w:t>
      </w:r>
      <w:r>
        <w:rPr>
          <w:rStyle w:val="18"/>
          <w:rFonts w:hint="eastAsia" w:ascii="仿宋" w:hAnsi="仿宋" w:eastAsia="仿宋"/>
          <w:b w:val="0"/>
          <w:bCs/>
          <w:color w:val="000000"/>
          <w:sz w:val="32"/>
          <w:szCs w:val="32"/>
          <w:lang w:val="en-US" w:eastAsia="zh-CN"/>
        </w:rPr>
        <w:t>支出决算为2万元，完成预算100%</w:t>
      </w:r>
      <w:bookmarkStart w:id="102" w:name="_Toc1031056510"/>
      <w:bookmarkStart w:id="103" w:name="_Toc627848306"/>
      <w:bookmarkStart w:id="104" w:name="_Toc1907819833"/>
      <w:bookmarkStart w:id="105" w:name="_Toc1336768781"/>
      <w:bookmarkStart w:id="106" w:name="_Toc1605102379"/>
      <w:bookmarkStart w:id="107" w:name="_Toc15377214"/>
      <w:bookmarkStart w:id="108" w:name="_Toc15396608"/>
      <w:r>
        <w:rPr>
          <w:rStyle w:val="18"/>
          <w:rFonts w:hint="default" w:ascii="仿宋" w:hAnsi="仿宋" w:eastAsia="仿宋"/>
          <w:b w:val="0"/>
          <w:bCs/>
          <w:color w:val="000000"/>
          <w:sz w:val="32"/>
          <w:szCs w:val="32"/>
          <w:lang w:eastAsia="zh-CN"/>
        </w:rPr>
        <w:t>。</w:t>
      </w:r>
    </w:p>
    <w:p>
      <w:pPr>
        <w:pStyle w:val="2"/>
        <w:numPr>
          <w:ilvl w:val="0"/>
          <w:numId w:val="2"/>
        </w:numPr>
        <w:ind w:left="425" w:leftChars="0" w:firstLine="642" w:firstLineChars="200"/>
        <w:jc w:val="both"/>
        <w:rPr>
          <w:rStyle w:val="18"/>
          <w:rFonts w:hint="default" w:ascii="仿宋" w:hAnsi="仿宋" w:eastAsia="仿宋"/>
          <w:b w:val="0"/>
          <w:bCs/>
          <w:color w:val="000000"/>
          <w:sz w:val="32"/>
          <w:szCs w:val="32"/>
          <w:lang w:val="en-US" w:eastAsia="zh-CN"/>
        </w:rPr>
      </w:pPr>
      <w:r>
        <w:rPr>
          <w:rStyle w:val="18"/>
          <w:rFonts w:hint="default" w:ascii="仿宋" w:hAnsi="仿宋" w:eastAsia="仿宋" w:cs="Calibri"/>
          <w:bCs w:val="0"/>
          <w:color w:val="000000"/>
          <w:kern w:val="0"/>
          <w:sz w:val="32"/>
          <w:szCs w:val="32"/>
          <w:lang w:val="en-US" w:eastAsia="zh-CN" w:bidi="ar-SA"/>
        </w:rPr>
        <w:t>灾害防治及应急管理支出（类）</w:t>
      </w:r>
      <w:r>
        <w:rPr>
          <w:rStyle w:val="18"/>
          <w:rFonts w:hint="eastAsia" w:ascii="仿宋" w:hAnsi="仿宋" w:eastAsia="仿宋" w:cs="Calibri"/>
          <w:bCs w:val="0"/>
          <w:color w:val="000000"/>
          <w:kern w:val="0"/>
          <w:sz w:val="32"/>
          <w:szCs w:val="32"/>
          <w:lang w:val="en-US" w:eastAsia="zh-CN" w:bidi="ar-SA"/>
        </w:rPr>
        <w:t>自然灾害救灾及恢复重建支出</w:t>
      </w:r>
      <w:r>
        <w:rPr>
          <w:rStyle w:val="18"/>
          <w:rFonts w:hint="default" w:ascii="仿宋" w:hAnsi="仿宋" w:eastAsia="仿宋" w:cs="Calibri"/>
          <w:bCs w:val="0"/>
          <w:color w:val="000000"/>
          <w:kern w:val="0"/>
          <w:sz w:val="32"/>
          <w:szCs w:val="32"/>
          <w:lang w:val="en-US" w:eastAsia="zh-CN" w:bidi="ar-SA"/>
        </w:rPr>
        <w:t>（款）</w:t>
      </w:r>
      <w:r>
        <w:rPr>
          <w:rStyle w:val="18"/>
          <w:rFonts w:hint="eastAsia" w:ascii="仿宋" w:hAnsi="仿宋" w:eastAsia="仿宋" w:cs="Calibri"/>
          <w:bCs w:val="0"/>
          <w:color w:val="000000"/>
          <w:kern w:val="0"/>
          <w:sz w:val="32"/>
          <w:szCs w:val="32"/>
          <w:lang w:val="en-US" w:eastAsia="zh-CN" w:bidi="ar-SA"/>
        </w:rPr>
        <w:t>自然灾害救灾补助</w:t>
      </w:r>
      <w:r>
        <w:rPr>
          <w:rStyle w:val="18"/>
          <w:rFonts w:hint="default" w:ascii="仿宋" w:hAnsi="仿宋" w:eastAsia="仿宋" w:cs="Calibri"/>
          <w:bCs w:val="0"/>
          <w:color w:val="000000"/>
          <w:kern w:val="0"/>
          <w:sz w:val="32"/>
          <w:szCs w:val="32"/>
          <w:lang w:val="en-US" w:eastAsia="zh-CN" w:bidi="ar-SA"/>
        </w:rPr>
        <w:t>（项）</w:t>
      </w:r>
      <w:r>
        <w:rPr>
          <w:rStyle w:val="18"/>
          <w:rFonts w:hint="default" w:ascii="仿宋" w:hAnsi="仿宋" w:eastAsia="仿宋"/>
          <w:b w:val="0"/>
          <w:bCs/>
          <w:color w:val="000000"/>
          <w:sz w:val="32"/>
          <w:szCs w:val="32"/>
          <w:lang w:val="en-US" w:eastAsia="zh-CN"/>
        </w:rPr>
        <w:t>:支出决算为</w:t>
      </w:r>
      <w:r>
        <w:rPr>
          <w:rStyle w:val="18"/>
          <w:rFonts w:hint="eastAsia" w:ascii="仿宋" w:hAnsi="仿宋" w:eastAsia="仿宋"/>
          <w:b w:val="0"/>
          <w:bCs/>
          <w:color w:val="000000"/>
          <w:sz w:val="32"/>
          <w:szCs w:val="32"/>
          <w:lang w:val="en-US" w:eastAsia="zh-CN"/>
        </w:rPr>
        <w:t>16</w:t>
      </w:r>
      <w:r>
        <w:rPr>
          <w:rStyle w:val="18"/>
          <w:rFonts w:hint="default" w:ascii="仿宋" w:hAnsi="仿宋" w:eastAsia="仿宋"/>
          <w:b w:val="0"/>
          <w:bCs/>
          <w:color w:val="000000"/>
          <w:sz w:val="32"/>
          <w:szCs w:val="32"/>
          <w:lang w:val="en-US" w:eastAsia="zh-CN"/>
        </w:rPr>
        <w:t>万元，完成预算100%。</w:t>
      </w:r>
      <w:bookmarkEnd w:id="102"/>
      <w:bookmarkEnd w:id="103"/>
      <w:bookmarkEnd w:id="104"/>
      <w:bookmarkEnd w:id="105"/>
      <w:bookmarkEnd w:id="106"/>
    </w:p>
    <w:p>
      <w:pPr>
        <w:tabs>
          <w:tab w:val="right" w:pos="8306"/>
        </w:tabs>
        <w:spacing w:line="600" w:lineRule="exact"/>
        <w:ind w:firstLine="640" w:firstLineChars="200"/>
        <w:outlineLvl w:val="1"/>
        <w:rPr>
          <w:rStyle w:val="29"/>
        </w:rPr>
      </w:pPr>
      <w:bookmarkStart w:id="109" w:name="_Toc448525756"/>
      <w:bookmarkStart w:id="110" w:name="_Toc1888176842"/>
      <w:bookmarkStart w:id="111" w:name="_Toc1300446573"/>
      <w:bookmarkStart w:id="112" w:name="_Toc195414336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107"/>
      <w:bookmarkEnd w:id="108"/>
      <w:bookmarkEnd w:id="109"/>
      <w:bookmarkEnd w:id="110"/>
      <w:bookmarkEnd w:id="111"/>
      <w:bookmarkEnd w:id="112"/>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1390.94</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highlight w:val="none"/>
        </w:rPr>
      </w:pPr>
      <w:r>
        <w:rPr>
          <w:rFonts w:hint="eastAsia" w:ascii="仿宋" w:hAnsi="仿宋" w:eastAsia="仿宋"/>
          <w:sz w:val="32"/>
          <w:szCs w:val="32"/>
        </w:rPr>
        <w:t>人员经费</w:t>
      </w:r>
      <w:r>
        <w:rPr>
          <w:rFonts w:hint="eastAsia" w:ascii="仿宋" w:hAnsi="仿宋" w:eastAsia="仿宋"/>
          <w:sz w:val="32"/>
          <w:szCs w:val="32"/>
          <w:lang w:val="en-US" w:eastAsia="zh-CN"/>
        </w:rPr>
        <w:t>1082.27</w:t>
      </w:r>
      <w:r>
        <w:rPr>
          <w:rFonts w:hint="eastAsia" w:ascii="仿宋" w:hAnsi="仿宋" w:eastAsia="仿宋"/>
          <w:sz w:val="32"/>
          <w:szCs w:val="32"/>
        </w:rPr>
        <w:t>万元，</w:t>
      </w:r>
      <w:r>
        <w:rPr>
          <w:rFonts w:hint="eastAsia" w:ascii="仿宋" w:hAnsi="仿宋" w:eastAsia="仿宋"/>
          <w:sz w:val="32"/>
          <w:szCs w:val="32"/>
          <w:highlight w:val="none"/>
        </w:rPr>
        <w:t>主要包括：基本工资、津贴补贴、奖金、机关事业单位基本养老保险缴费、职业年金缴费、其他社会保障缴费、其他工资福利支出、抚恤金、生活补助、奖励金、住房公积金、其他对个人和家庭的补助支出等。</w:t>
      </w:r>
    </w:p>
    <w:p>
      <w:pPr>
        <w:spacing w:line="600" w:lineRule="exact"/>
        <w:ind w:firstLine="640" w:firstLineChars="200"/>
        <w:outlineLvl w:val="1"/>
        <w:rPr>
          <w:rFonts w:hint="eastAsia" w:ascii="仿宋" w:hAnsi="仿宋" w:eastAsia="仿宋"/>
          <w:sz w:val="32"/>
          <w:szCs w:val="32"/>
          <w:highlight w:val="none"/>
        </w:rPr>
      </w:pPr>
      <w:r>
        <w:rPr>
          <w:rFonts w:hint="eastAsia" w:ascii="仿宋" w:hAnsi="仿宋" w:eastAsia="仿宋"/>
          <w:sz w:val="32"/>
          <w:szCs w:val="32"/>
        </w:rPr>
        <w:t>公用经费</w:t>
      </w:r>
      <w:r>
        <w:rPr>
          <w:rFonts w:hint="eastAsia" w:ascii="仿宋" w:hAnsi="仿宋" w:eastAsia="仿宋"/>
          <w:sz w:val="32"/>
          <w:szCs w:val="32"/>
          <w:lang w:val="en-US" w:eastAsia="zh-CN"/>
        </w:rPr>
        <w:t>308.67</w:t>
      </w:r>
      <w:r>
        <w:rPr>
          <w:rFonts w:hint="eastAsia" w:ascii="仿宋" w:hAnsi="仿宋" w:eastAsia="仿宋"/>
          <w:sz w:val="32"/>
          <w:szCs w:val="32"/>
        </w:rPr>
        <w:t>万元，</w:t>
      </w:r>
      <w:r>
        <w:rPr>
          <w:rFonts w:hint="eastAsia" w:ascii="仿宋" w:hAnsi="仿宋" w:eastAsia="仿宋"/>
          <w:sz w:val="32"/>
          <w:szCs w:val="32"/>
          <w:highlight w:val="none"/>
        </w:rPr>
        <w:t>主要包括：办公费、印刷费、水费、电费、邮电费、差旅费、维修（护）费、租赁费、培训费、公务接待费、劳务费、工会经费、福利费、其他交通费、其他商品和服务支出、办公设备购置。</w:t>
      </w:r>
    </w:p>
    <w:p>
      <w:pPr>
        <w:spacing w:line="600" w:lineRule="exact"/>
        <w:ind w:firstLine="640" w:firstLineChars="200"/>
        <w:outlineLvl w:val="1"/>
        <w:rPr>
          <w:rFonts w:hint="eastAsia" w:ascii="仿宋" w:hAnsi="仿宋" w:eastAsia="仿宋"/>
          <w:sz w:val="32"/>
          <w:szCs w:val="32"/>
          <w:highlight w:val="none"/>
        </w:rPr>
      </w:pPr>
    </w:p>
    <w:p>
      <w:pPr>
        <w:spacing w:line="600" w:lineRule="exact"/>
        <w:ind w:firstLine="640" w:firstLineChars="200"/>
        <w:outlineLvl w:val="1"/>
        <w:rPr>
          <w:rStyle w:val="29"/>
          <w:rFonts w:ascii="黑体" w:hAnsi="黑体" w:eastAsia="黑体"/>
          <w:b w:val="0"/>
        </w:rPr>
      </w:pPr>
      <w:bookmarkStart w:id="113" w:name="_Toc1158083940"/>
      <w:bookmarkStart w:id="114" w:name="_Toc1206190031"/>
      <w:bookmarkStart w:id="115" w:name="_Toc92453200"/>
      <w:bookmarkStart w:id="116" w:name="_Toc15396609"/>
      <w:bookmarkStart w:id="117" w:name="_Toc15377215"/>
      <w:bookmarkStart w:id="118" w:name="_Toc105483093"/>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113"/>
      <w:bookmarkEnd w:id="114"/>
      <w:bookmarkEnd w:id="115"/>
      <w:bookmarkEnd w:id="116"/>
      <w:bookmarkEnd w:id="117"/>
      <w:bookmarkEnd w:id="118"/>
    </w:p>
    <w:p>
      <w:pPr>
        <w:spacing w:line="600" w:lineRule="exact"/>
        <w:ind w:firstLine="640"/>
        <w:outlineLvl w:val="2"/>
        <w:rPr>
          <w:rFonts w:ascii="仿宋" w:hAnsi="仿宋" w:eastAsia="仿宋"/>
          <w:b/>
          <w:sz w:val="32"/>
          <w:szCs w:val="32"/>
        </w:rPr>
      </w:pPr>
      <w:bookmarkStart w:id="119" w:name="_Toc1590995058"/>
      <w:bookmarkStart w:id="120" w:name="_Toc15377216"/>
      <w:bookmarkStart w:id="121" w:name="_Toc1535800754"/>
      <w:r>
        <w:rPr>
          <w:rFonts w:hint="eastAsia" w:ascii="仿宋" w:hAnsi="仿宋" w:eastAsia="仿宋"/>
          <w:b/>
          <w:sz w:val="32"/>
          <w:szCs w:val="32"/>
        </w:rPr>
        <w:t>（一）“三公”经费财政拨款支出决算总体情况说明</w:t>
      </w:r>
      <w:bookmarkEnd w:id="119"/>
      <w:bookmarkEnd w:id="120"/>
      <w:bookmarkEnd w:id="121"/>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0.62</w:t>
      </w:r>
      <w:r>
        <w:rPr>
          <w:rFonts w:hint="eastAsia" w:ascii="仿宋" w:hAnsi="仿宋" w:eastAsia="仿宋"/>
          <w:sz w:val="32"/>
          <w:szCs w:val="32"/>
        </w:rPr>
        <w:t>万元，完成预算</w:t>
      </w:r>
      <w:r>
        <w:rPr>
          <w:rFonts w:hint="eastAsia" w:ascii="仿宋" w:hAnsi="仿宋" w:eastAsia="仿宋"/>
          <w:color w:val="auto"/>
          <w:sz w:val="32"/>
          <w:szCs w:val="32"/>
          <w:highlight w:val="none"/>
          <w:lang w:val="en-US" w:eastAsia="zh-CN"/>
        </w:rPr>
        <w:t>6.2</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减少5.58万元，下降90%。</w:t>
      </w:r>
      <w:r>
        <w:rPr>
          <w:rFonts w:hint="eastAsia" w:ascii="仿宋" w:hAnsi="仿宋" w:eastAsia="仿宋"/>
          <w:color w:val="auto"/>
          <w:sz w:val="32"/>
          <w:szCs w:val="32"/>
          <w:highlight w:val="none"/>
        </w:rPr>
        <w:t>决算数小于预算数的主要原因是</w:t>
      </w:r>
      <w:r>
        <w:rPr>
          <w:rFonts w:hint="eastAsia" w:ascii="仿宋" w:hAnsi="仿宋" w:eastAsia="仿宋"/>
          <w:sz w:val="32"/>
          <w:szCs w:val="32"/>
        </w:rPr>
        <w:t>秦巴生物医药产业园、空港物流产业园两个项目园区，招商引资</w:t>
      </w:r>
      <w:r>
        <w:rPr>
          <w:rFonts w:hint="eastAsia" w:ascii="仿宋" w:hAnsi="仿宋" w:eastAsia="仿宋"/>
          <w:sz w:val="32"/>
          <w:szCs w:val="32"/>
          <w:lang w:eastAsia="zh-CN"/>
        </w:rPr>
        <w:t>公务接待费由开发区统一结算，公务接待费减少。</w:t>
      </w:r>
    </w:p>
    <w:p>
      <w:pPr>
        <w:spacing w:line="600" w:lineRule="exact"/>
        <w:ind w:firstLine="640"/>
        <w:outlineLvl w:val="2"/>
        <w:rPr>
          <w:rFonts w:ascii="仿宋" w:hAnsi="仿宋" w:eastAsia="仿宋"/>
          <w:b/>
          <w:sz w:val="32"/>
          <w:szCs w:val="32"/>
        </w:rPr>
      </w:pPr>
      <w:bookmarkStart w:id="122" w:name="_Toc1680980747"/>
      <w:bookmarkStart w:id="123" w:name="_Toc1960188889"/>
      <w:bookmarkStart w:id="124" w:name="_Toc15377217"/>
      <w:r>
        <w:rPr>
          <w:rFonts w:hint="eastAsia" w:ascii="仿宋" w:hAnsi="仿宋" w:eastAsia="仿宋"/>
          <w:b/>
          <w:sz w:val="32"/>
          <w:szCs w:val="32"/>
        </w:rPr>
        <w:t>（二）“三公”经费财政拨款支出决算具体情况说明</w:t>
      </w:r>
      <w:bookmarkEnd w:id="122"/>
      <w:bookmarkEnd w:id="123"/>
      <w:bookmarkEnd w:id="12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年“三公”经费财政拨款支出决算中，因公出国（境）费支出决算0万元，年初未安排预算；公务用车购置及运行维护费支出决算0万元，年初未安排预算；公务接待费支出决算</w:t>
      </w:r>
      <w:r>
        <w:rPr>
          <w:rFonts w:hint="eastAsia" w:ascii="仿宋" w:hAnsi="仿宋" w:eastAsia="仿宋"/>
          <w:sz w:val="32"/>
          <w:szCs w:val="32"/>
          <w:lang w:val="en-US" w:eastAsia="zh-CN"/>
        </w:rPr>
        <w:t>0.62</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。具体情况如下：</w:t>
      </w:r>
    </w:p>
    <w:p>
      <w:pPr>
        <w:numPr>
          <w:ilvl w:val="0"/>
          <w:numId w:val="3"/>
        </w:numPr>
        <w:spacing w:line="576" w:lineRule="exact"/>
        <w:ind w:firstLine="680"/>
        <w:rPr>
          <w:rFonts w:hint="eastAsia" w:ascii="仿宋_GB2312" w:eastAsia="仿宋_GB2312"/>
          <w:sz w:val="32"/>
          <w:szCs w:val="32"/>
        </w:rPr>
      </w:pPr>
      <w:r>
        <w:rPr>
          <w:rFonts w:hint="eastAsia" w:ascii="仿宋" w:hAnsi="仿宋" w:eastAsia="仿宋"/>
          <w:b/>
          <w:bCs/>
          <w:sz w:val="32"/>
          <w:szCs w:val="32"/>
        </w:rPr>
        <w:t>因公出国（境）经费支出</w:t>
      </w:r>
      <w:r>
        <w:rPr>
          <w:rFonts w:hint="eastAsia" w:ascii="仿宋" w:hAnsi="仿宋" w:eastAsia="仿宋"/>
          <w:sz w:val="32"/>
          <w:szCs w:val="32"/>
        </w:rPr>
        <w:t>0万元，年初未安排预算</w:t>
      </w:r>
      <w:r>
        <w:rPr>
          <w:rFonts w:hint="eastAsia" w:ascii="仿宋" w:hAnsi="仿宋" w:eastAsia="仿宋"/>
          <w:sz w:val="32"/>
          <w:szCs w:val="32"/>
          <w:lang w:eastAsia="zh-CN"/>
        </w:rPr>
        <w:t>，</w:t>
      </w:r>
      <w:r>
        <w:rPr>
          <w:rFonts w:hint="eastAsia" w:ascii="仿宋_GB2312" w:eastAsia="仿宋_GB2312"/>
          <w:sz w:val="32"/>
          <w:szCs w:val="32"/>
        </w:rPr>
        <w:t>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相比无变化</w:t>
      </w:r>
      <w:r>
        <w:rPr>
          <w:rFonts w:hint="eastAsia" w:ascii="仿宋_GB2312" w:eastAsia="仿宋_GB2312"/>
          <w:sz w:val="32"/>
          <w:szCs w:val="32"/>
        </w:rPr>
        <w:t xml:space="preserve">。             </w:t>
      </w:r>
    </w:p>
    <w:p>
      <w:pPr>
        <w:numPr>
          <w:ilvl w:val="0"/>
          <w:numId w:val="3"/>
        </w:numPr>
        <w:spacing w:line="600" w:lineRule="exact"/>
        <w:ind w:left="0" w:leftChars="0" w:firstLine="680" w:firstLineChars="0"/>
        <w:rPr>
          <w:rFonts w:hint="eastAsia" w:ascii="仿宋_GB2312" w:eastAsia="仿宋_GB2312"/>
          <w:sz w:val="32"/>
          <w:szCs w:val="32"/>
          <w:lang w:eastAsia="zh-CN"/>
        </w:rPr>
      </w:pPr>
      <w:r>
        <w:rPr>
          <w:rFonts w:hint="eastAsia" w:ascii="仿宋" w:hAnsi="仿宋" w:eastAsia="仿宋"/>
          <w:b/>
          <w:bCs/>
          <w:sz w:val="32"/>
          <w:szCs w:val="32"/>
        </w:rPr>
        <w:t>公务用车购置及运行维护费支出</w:t>
      </w:r>
      <w:r>
        <w:rPr>
          <w:rFonts w:hint="eastAsia" w:ascii="仿宋" w:hAnsi="仿宋" w:eastAsia="仿宋"/>
          <w:sz w:val="32"/>
          <w:szCs w:val="32"/>
        </w:rPr>
        <w:t>0万元,年初未安排预算。</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相比无变化</w:t>
      </w:r>
      <w:r>
        <w:rPr>
          <w:rFonts w:hint="default" w:ascii="仿宋_GB2312" w:eastAsia="仿宋_GB2312"/>
          <w:sz w:val="32"/>
          <w:szCs w:val="32"/>
          <w:lang w:eastAsia="zh-CN"/>
        </w:rPr>
        <w:t>。</w:t>
      </w:r>
    </w:p>
    <w:p>
      <w:pPr>
        <w:numPr>
          <w:ilvl w:val="0"/>
          <w:numId w:val="3"/>
        </w:numPr>
        <w:spacing w:line="600" w:lineRule="exact"/>
        <w:ind w:left="0" w:leftChars="0" w:firstLine="680" w:firstLineChars="0"/>
        <w:rPr>
          <w:rFonts w:hint="eastAsia" w:ascii="仿宋" w:hAnsi="仿宋" w:eastAsia="仿宋"/>
          <w:sz w:val="32"/>
          <w:szCs w:val="32"/>
        </w:rPr>
      </w:pPr>
      <w:r>
        <w:rPr>
          <w:rFonts w:hint="eastAsia" w:ascii="仿宋_GB2312" w:eastAsia="仿宋_GB2312"/>
          <w:b/>
          <w:sz w:val="32"/>
          <w:szCs w:val="32"/>
        </w:rPr>
        <w:t>公务接待费支出</w:t>
      </w:r>
      <w:r>
        <w:rPr>
          <w:rFonts w:hint="eastAsia" w:ascii="仿宋_GB2312" w:eastAsia="仿宋_GB2312"/>
          <w:sz w:val="32"/>
          <w:szCs w:val="32"/>
          <w:lang w:val="en-US" w:eastAsia="zh-CN"/>
        </w:rPr>
        <w:t>0.62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6.2</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5.58</w:t>
      </w:r>
      <w:r>
        <w:rPr>
          <w:rFonts w:hint="eastAsia" w:ascii="仿宋_GB2312" w:eastAsia="仿宋_GB2312"/>
          <w:sz w:val="32"/>
          <w:szCs w:val="32"/>
        </w:rPr>
        <w:t>万元，</w:t>
      </w:r>
      <w:r>
        <w:rPr>
          <w:rFonts w:hint="eastAsia" w:ascii="仿宋" w:hAnsi="仿宋" w:eastAsia="仿宋"/>
          <w:color w:val="auto"/>
          <w:sz w:val="32"/>
          <w:szCs w:val="32"/>
          <w:highlight w:val="none"/>
          <w:lang w:val="en-US" w:eastAsia="zh-CN"/>
        </w:rPr>
        <w:t>下降90%</w:t>
      </w:r>
      <w:r>
        <w:rPr>
          <w:rFonts w:hint="eastAsia" w:ascii="仿宋_GB2312" w:eastAsia="仿宋_GB2312"/>
          <w:sz w:val="32"/>
          <w:szCs w:val="32"/>
        </w:rPr>
        <w:t>。</w:t>
      </w:r>
      <w:r>
        <w:rPr>
          <w:rFonts w:hint="eastAsia" w:ascii="仿宋" w:hAnsi="仿宋" w:eastAsia="仿宋"/>
          <w:color w:val="auto"/>
          <w:sz w:val="32"/>
          <w:szCs w:val="32"/>
          <w:highlight w:val="none"/>
        </w:rPr>
        <w:t>主要原因是</w:t>
      </w:r>
      <w:r>
        <w:rPr>
          <w:rFonts w:hint="eastAsia" w:ascii="仿宋" w:hAnsi="仿宋" w:eastAsia="仿宋"/>
          <w:sz w:val="32"/>
          <w:szCs w:val="32"/>
        </w:rPr>
        <w:t>秦巴生物医药产业园、空港物流产业园两个项目园区，招商引资</w:t>
      </w:r>
      <w:r>
        <w:rPr>
          <w:rFonts w:hint="eastAsia" w:ascii="仿宋" w:hAnsi="仿宋" w:eastAsia="仿宋"/>
          <w:sz w:val="32"/>
          <w:szCs w:val="32"/>
          <w:lang w:eastAsia="zh-CN"/>
        </w:rPr>
        <w:t>公务接待费由开发区统一结算，公务接待费减少</w:t>
      </w:r>
      <w:r>
        <w:rPr>
          <w:rFonts w:hint="eastAsia" w:ascii="仿宋" w:hAnsi="仿宋" w:eastAsia="仿宋"/>
          <w:sz w:val="32"/>
          <w:szCs w:val="32"/>
        </w:rPr>
        <w:t>。其中：</w:t>
      </w:r>
    </w:p>
    <w:p>
      <w:pPr>
        <w:spacing w:line="600" w:lineRule="exact"/>
        <w:ind w:firstLine="640"/>
        <w:rPr>
          <w:rFonts w:hint="eastAsia" w:ascii="仿宋" w:hAnsi="仿宋" w:eastAsia="仿宋"/>
          <w:color w:val="auto"/>
          <w:sz w:val="32"/>
          <w:szCs w:val="32"/>
        </w:rPr>
      </w:pPr>
      <w:r>
        <w:rPr>
          <w:rFonts w:hint="eastAsia" w:ascii="仿宋" w:hAnsi="仿宋" w:eastAsia="仿宋"/>
          <w:sz w:val="32"/>
          <w:szCs w:val="32"/>
        </w:rPr>
        <w:t>国内公务接待支出</w:t>
      </w:r>
      <w:r>
        <w:rPr>
          <w:rFonts w:hint="eastAsia" w:ascii="仿宋" w:hAnsi="仿宋" w:eastAsia="仿宋"/>
          <w:sz w:val="32"/>
          <w:szCs w:val="32"/>
          <w:lang w:val="en-US" w:eastAsia="zh-CN"/>
        </w:rPr>
        <w:t>0.62</w:t>
      </w:r>
      <w:r>
        <w:rPr>
          <w:rFonts w:hint="eastAsia" w:ascii="仿宋" w:hAnsi="仿宋" w:eastAsia="仿宋"/>
          <w:sz w:val="32"/>
          <w:szCs w:val="32"/>
        </w:rPr>
        <w:t>万元，主要用于</w:t>
      </w:r>
      <w:r>
        <w:rPr>
          <w:rFonts w:hint="eastAsia" w:ascii="仿宋" w:hAnsi="仿宋" w:eastAsia="仿宋"/>
          <w:sz w:val="32"/>
          <w:szCs w:val="32"/>
          <w:lang w:eastAsia="zh-CN"/>
        </w:rPr>
        <w:t>会议</w:t>
      </w:r>
      <w:r>
        <w:rPr>
          <w:rFonts w:hint="eastAsia" w:ascii="仿宋" w:hAnsi="仿宋" w:eastAsia="仿宋"/>
          <w:sz w:val="32"/>
          <w:szCs w:val="32"/>
        </w:rPr>
        <w:t>业务活动开支的用餐费。国内公务接待</w:t>
      </w:r>
      <w:r>
        <w:rPr>
          <w:rFonts w:hint="eastAsia" w:ascii="仿宋" w:hAnsi="仿宋" w:eastAsia="仿宋"/>
          <w:sz w:val="32"/>
          <w:szCs w:val="32"/>
          <w:lang w:val="en-US" w:eastAsia="zh-CN"/>
        </w:rPr>
        <w:t>15</w:t>
      </w:r>
      <w:r>
        <w:rPr>
          <w:rFonts w:hint="eastAsia" w:ascii="仿宋" w:hAnsi="仿宋" w:eastAsia="仿宋"/>
          <w:sz w:val="32"/>
          <w:szCs w:val="32"/>
        </w:rPr>
        <w:t>批次，</w:t>
      </w:r>
      <w:r>
        <w:rPr>
          <w:rFonts w:hint="eastAsia" w:ascii="仿宋" w:hAnsi="仿宋" w:eastAsia="仿宋"/>
          <w:sz w:val="32"/>
          <w:szCs w:val="32"/>
          <w:lang w:val="en-US" w:eastAsia="zh-CN"/>
        </w:rPr>
        <w:t>68</w:t>
      </w:r>
      <w:r>
        <w:rPr>
          <w:rFonts w:hint="eastAsia" w:ascii="仿宋" w:hAnsi="仿宋" w:eastAsia="仿宋"/>
          <w:sz w:val="32"/>
          <w:szCs w:val="32"/>
        </w:rPr>
        <w:t>人次（不包括陪同人员），共计支出</w:t>
      </w:r>
      <w:r>
        <w:rPr>
          <w:rFonts w:hint="eastAsia" w:ascii="仿宋" w:hAnsi="仿宋" w:eastAsia="仿宋"/>
          <w:sz w:val="32"/>
          <w:szCs w:val="32"/>
          <w:lang w:val="en-US" w:eastAsia="zh-CN"/>
        </w:rPr>
        <w:t>0.62</w:t>
      </w:r>
      <w:r>
        <w:rPr>
          <w:rFonts w:hint="eastAsia" w:ascii="仿宋" w:hAnsi="仿宋" w:eastAsia="仿宋"/>
          <w:sz w:val="32"/>
          <w:szCs w:val="32"/>
        </w:rPr>
        <w:t>万元，具体内容包括：</w:t>
      </w:r>
      <w:r>
        <w:rPr>
          <w:rFonts w:hint="eastAsia" w:ascii="仿宋" w:hAnsi="仿宋" w:eastAsia="仿宋"/>
          <w:color w:val="auto"/>
          <w:sz w:val="32"/>
          <w:szCs w:val="32"/>
        </w:rPr>
        <w:t>接待</w:t>
      </w:r>
      <w:r>
        <w:rPr>
          <w:rFonts w:hint="eastAsia" w:ascii="仿宋" w:hAnsi="仿宋" w:eastAsia="仿宋"/>
          <w:color w:val="auto"/>
          <w:sz w:val="32"/>
          <w:szCs w:val="32"/>
          <w:lang w:eastAsia="zh-CN"/>
        </w:rPr>
        <w:t>亿信医疗器械股份有限公司、成都建棋新能源技术有限责任公司</w:t>
      </w:r>
      <w:r>
        <w:rPr>
          <w:rFonts w:hint="eastAsia" w:ascii="仿宋" w:hAnsi="仿宋" w:eastAsia="仿宋"/>
          <w:color w:val="auto"/>
          <w:sz w:val="32"/>
          <w:szCs w:val="32"/>
        </w:rPr>
        <w:t>等公司招商引资</w:t>
      </w:r>
      <w:bookmarkStart w:id="125" w:name="_Toc15396610"/>
      <w:bookmarkStart w:id="126" w:name="_Toc15377218"/>
      <w:r>
        <w:rPr>
          <w:rFonts w:hint="eastAsia" w:ascii="仿宋" w:hAnsi="仿宋" w:eastAsia="仿宋"/>
          <w:color w:val="auto"/>
          <w:sz w:val="32"/>
          <w:szCs w:val="32"/>
        </w:rPr>
        <w:t>。</w:t>
      </w:r>
    </w:p>
    <w:p>
      <w:pPr>
        <w:spacing w:line="576" w:lineRule="exact"/>
        <w:ind w:firstLine="640" w:firstLineChars="200"/>
        <w:outlineLvl w:val="1"/>
        <w:rPr>
          <w:rStyle w:val="29"/>
          <w:rFonts w:ascii="黑体" w:hAnsi="黑体" w:eastAsia="黑体"/>
        </w:rPr>
      </w:pPr>
      <w:bookmarkStart w:id="127" w:name="_Toc728924997"/>
      <w:bookmarkStart w:id="128" w:name="_Toc1066555217"/>
      <w:bookmarkStart w:id="129" w:name="_Toc1051731694"/>
      <w:bookmarkStart w:id="130" w:name="_Toc755077010"/>
      <w:r>
        <w:rPr>
          <w:rFonts w:hint="eastAsia" w:ascii="黑体" w:eastAsia="黑体"/>
          <w:sz w:val="32"/>
          <w:szCs w:val="32"/>
        </w:rPr>
        <w:t>八、</w:t>
      </w:r>
      <w:r>
        <w:rPr>
          <w:rStyle w:val="29"/>
          <w:rFonts w:hint="eastAsia" w:ascii="黑体" w:hAnsi="黑体" w:eastAsia="黑体"/>
          <w:b w:val="0"/>
        </w:rPr>
        <w:t>政府性基金预算支出决算情况说明</w:t>
      </w:r>
      <w:bookmarkEnd w:id="127"/>
      <w:bookmarkEnd w:id="128"/>
      <w:bookmarkEnd w:id="129"/>
      <w:bookmarkEnd w:id="130"/>
    </w:p>
    <w:p>
      <w:pPr>
        <w:spacing w:line="576" w:lineRule="exact"/>
        <w:ind w:firstLine="64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1751.84</w:t>
      </w:r>
      <w:r>
        <w:rPr>
          <w:rFonts w:hint="eastAsia" w:ascii="仿宋_GB2312" w:eastAsia="仿宋_GB2312"/>
          <w:sz w:val="32"/>
          <w:szCs w:val="32"/>
        </w:rPr>
        <w:t>万元。</w:t>
      </w:r>
    </w:p>
    <w:p>
      <w:pPr>
        <w:numPr>
          <w:ilvl w:val="0"/>
          <w:numId w:val="0"/>
        </w:numPr>
        <w:spacing w:line="576" w:lineRule="exact"/>
        <w:ind w:leftChars="0" w:firstLine="640" w:firstLineChars="200"/>
        <w:outlineLvl w:val="1"/>
        <w:rPr>
          <w:rStyle w:val="29"/>
          <w:rFonts w:ascii="黑体" w:hAnsi="黑体" w:eastAsia="黑体"/>
          <w:b w:val="0"/>
        </w:rPr>
      </w:pPr>
      <w:bookmarkStart w:id="131" w:name="_Toc2093543314"/>
      <w:bookmarkStart w:id="132" w:name="_Toc1998830874"/>
      <w:bookmarkStart w:id="133" w:name="_Toc15377219"/>
      <w:bookmarkStart w:id="134" w:name="_Toc312623067"/>
      <w:bookmarkStart w:id="135" w:name="_Toc843242776"/>
      <w:bookmarkStart w:id="136" w:name="_Toc15396611"/>
      <w:r>
        <w:rPr>
          <w:rStyle w:val="29"/>
          <w:rFonts w:hint="eastAsia" w:ascii="黑体" w:hAnsi="黑体" w:eastAsia="黑体"/>
          <w:b w:val="0"/>
          <w:lang w:val="en-US" w:eastAsia="zh-CN"/>
        </w:rPr>
        <w:t>九、</w:t>
      </w:r>
      <w:r>
        <w:rPr>
          <w:rStyle w:val="29"/>
          <w:rFonts w:hint="eastAsia" w:ascii="黑体" w:hAnsi="黑体" w:eastAsia="黑体"/>
          <w:b w:val="0"/>
        </w:rPr>
        <w:t>国有资本经营预算支出决算情况说明</w:t>
      </w:r>
      <w:bookmarkEnd w:id="131"/>
      <w:bookmarkEnd w:id="132"/>
      <w:bookmarkEnd w:id="133"/>
      <w:bookmarkEnd w:id="134"/>
      <w:bookmarkEnd w:id="135"/>
      <w:bookmarkEnd w:id="136"/>
    </w:p>
    <w:p>
      <w:pPr>
        <w:spacing w:line="576"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年国有资本经营预算财政拨款支出0万元。</w:t>
      </w:r>
    </w:p>
    <w:p>
      <w:pPr>
        <w:spacing w:line="600" w:lineRule="exact"/>
        <w:ind w:firstLine="640" w:firstLineChars="200"/>
        <w:outlineLvl w:val="1"/>
        <w:rPr>
          <w:rStyle w:val="29"/>
          <w:rFonts w:ascii="黑体" w:hAnsi="黑体" w:eastAsia="黑体"/>
          <w:b w:val="0"/>
        </w:rPr>
      </w:pPr>
      <w:bookmarkStart w:id="137" w:name="_Toc1260787260"/>
      <w:bookmarkStart w:id="138" w:name="_Toc542028493"/>
      <w:bookmarkStart w:id="139" w:name="_Toc1853698409"/>
      <w:bookmarkStart w:id="140" w:name="_Toc1495598535"/>
      <w:r>
        <w:rPr>
          <w:rStyle w:val="29"/>
          <w:rFonts w:hint="eastAsia" w:ascii="黑体" w:hAnsi="黑体" w:eastAsia="黑体"/>
          <w:b w:val="0"/>
          <w:lang w:val="en-US" w:eastAsia="zh-CN"/>
        </w:rPr>
        <w:t>十、</w:t>
      </w:r>
      <w:bookmarkEnd w:id="125"/>
      <w:bookmarkEnd w:id="126"/>
      <w:bookmarkStart w:id="141" w:name="_Toc15396612"/>
      <w:bookmarkStart w:id="142" w:name="_Toc15377221"/>
      <w:r>
        <w:rPr>
          <w:rStyle w:val="29"/>
          <w:rFonts w:hint="eastAsia" w:ascii="黑体" w:hAnsi="黑体" w:eastAsia="黑体"/>
          <w:b w:val="0"/>
        </w:rPr>
        <w:t>其他重要事项的情况说明</w:t>
      </w:r>
      <w:bookmarkEnd w:id="137"/>
      <w:bookmarkEnd w:id="138"/>
      <w:bookmarkEnd w:id="139"/>
      <w:bookmarkEnd w:id="140"/>
      <w:bookmarkEnd w:id="141"/>
      <w:bookmarkEnd w:id="142"/>
    </w:p>
    <w:p>
      <w:pPr>
        <w:tabs>
          <w:tab w:val="left" w:pos="816"/>
        </w:tabs>
        <w:spacing w:line="600" w:lineRule="exact"/>
        <w:ind w:firstLine="642" w:firstLineChars="200"/>
        <w:outlineLvl w:val="2"/>
        <w:rPr>
          <w:rFonts w:ascii="仿宋" w:hAnsi="仿宋" w:eastAsia="仿宋"/>
          <w:sz w:val="32"/>
          <w:szCs w:val="32"/>
        </w:rPr>
      </w:pPr>
      <w:bookmarkStart w:id="143" w:name="_Toc15377222"/>
      <w:bookmarkStart w:id="144" w:name="_Toc1798868400"/>
      <w:bookmarkStart w:id="145" w:name="_Toc344817814"/>
      <w:r>
        <w:rPr>
          <w:rFonts w:hint="eastAsia" w:ascii="仿宋" w:hAnsi="仿宋" w:eastAsia="仿宋"/>
          <w:b/>
          <w:sz w:val="32"/>
          <w:szCs w:val="32"/>
          <w:lang w:eastAsia="zh-CN"/>
        </w:rPr>
        <w:t>（一）</w:t>
      </w:r>
      <w:r>
        <w:rPr>
          <w:rFonts w:hint="eastAsia" w:ascii="仿宋" w:hAnsi="仿宋" w:eastAsia="仿宋"/>
          <w:b/>
          <w:sz w:val="32"/>
          <w:szCs w:val="32"/>
        </w:rPr>
        <w:t>机关运行经费支出情况</w:t>
      </w:r>
      <w:bookmarkEnd w:id="143"/>
      <w:bookmarkEnd w:id="144"/>
      <w:bookmarkEnd w:id="145"/>
    </w:p>
    <w:p>
      <w:pPr>
        <w:spacing w:line="576" w:lineRule="exact"/>
        <w:ind w:firstLine="640" w:firstLineChars="200"/>
        <w:rPr>
          <w:rFonts w:hint="eastAsia" w:ascii="仿宋_GB2312" w:eastAsia="仿宋_GB2312"/>
          <w:color w:val="auto"/>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年，盘龙镇机关运行经费支出</w:t>
      </w:r>
      <w:r>
        <w:rPr>
          <w:rFonts w:hint="eastAsia" w:ascii="仿宋" w:hAnsi="仿宋" w:eastAsia="仿宋"/>
          <w:sz w:val="32"/>
          <w:szCs w:val="32"/>
          <w:lang w:val="en-US" w:eastAsia="zh-CN"/>
        </w:rPr>
        <w:t>308.67</w:t>
      </w:r>
      <w:r>
        <w:rPr>
          <w:rFonts w:hint="eastAsia" w:ascii="仿宋" w:hAnsi="仿宋" w:eastAsia="仿宋"/>
          <w:sz w:val="32"/>
          <w:szCs w:val="32"/>
        </w:rPr>
        <w:t>万元，比</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447.19</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59.16</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定向</w:t>
      </w:r>
      <w:r>
        <w:rPr>
          <w:rFonts w:hint="eastAsia" w:ascii="仿宋_GB2312" w:eastAsia="仿宋_GB2312"/>
          <w:color w:val="auto"/>
          <w:sz w:val="32"/>
          <w:szCs w:val="32"/>
        </w:rPr>
        <w:t>财力补助</w:t>
      </w:r>
      <w:r>
        <w:rPr>
          <w:rFonts w:hint="eastAsia" w:ascii="仿宋_GB2312" w:eastAsia="仿宋_GB2312"/>
          <w:color w:val="auto"/>
          <w:sz w:val="32"/>
          <w:szCs w:val="32"/>
          <w:lang w:eastAsia="zh-CN"/>
        </w:rPr>
        <w:t>减少</w:t>
      </w:r>
      <w:r>
        <w:rPr>
          <w:rFonts w:hint="eastAsia" w:ascii="仿宋_GB2312" w:eastAsia="仿宋_GB2312"/>
          <w:color w:val="auto"/>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46" w:name="_Toc1076337949"/>
      <w:bookmarkStart w:id="147" w:name="_Toc15377223"/>
      <w:bookmarkStart w:id="148" w:name="_Toc1944940649"/>
      <w:r>
        <w:rPr>
          <w:rFonts w:hint="eastAsia" w:ascii="仿宋" w:hAnsi="仿宋" w:eastAsia="仿宋"/>
          <w:b/>
          <w:sz w:val="32"/>
          <w:szCs w:val="32"/>
        </w:rPr>
        <w:t>（二）政府采购支出情况</w:t>
      </w:r>
      <w:bookmarkEnd w:id="146"/>
      <w:bookmarkEnd w:id="147"/>
      <w:bookmarkEnd w:id="1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年，盘龙镇政府采购支出总额0万元。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49" w:name="_Toc563047243"/>
      <w:bookmarkStart w:id="150" w:name="_Toc206641609"/>
      <w:bookmarkStart w:id="151" w:name="_Toc15377224"/>
      <w:r>
        <w:rPr>
          <w:rFonts w:hint="eastAsia" w:ascii="仿宋" w:hAnsi="仿宋" w:eastAsia="仿宋"/>
          <w:b/>
          <w:sz w:val="32"/>
          <w:szCs w:val="32"/>
        </w:rPr>
        <w:t>（三）国有资产占有使用情况</w:t>
      </w:r>
      <w:bookmarkEnd w:id="149"/>
      <w:bookmarkEnd w:id="150"/>
      <w:bookmarkEnd w:id="151"/>
    </w:p>
    <w:p>
      <w:pPr>
        <w:pStyle w:val="2"/>
        <w:ind w:firstLine="640" w:firstLineChars="200"/>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日，盘龙镇共有车辆0辆。</w:t>
      </w:r>
    </w:p>
    <w:p>
      <w:pPr>
        <w:numPr>
          <w:ilvl w:val="0"/>
          <w:numId w:val="0"/>
        </w:numPr>
        <w:spacing w:line="576" w:lineRule="exact"/>
        <w:ind w:leftChars="0" w:firstLine="642" w:firstLineChars="200"/>
        <w:outlineLvl w:val="1"/>
        <w:rPr>
          <w:rStyle w:val="29"/>
          <w:rFonts w:hint="eastAsia" w:ascii="黑体" w:hAnsi="黑体" w:eastAsia="黑体"/>
          <w:b w:val="0"/>
          <w:lang w:val="en-US" w:eastAsia="zh-CN"/>
        </w:rPr>
      </w:pPr>
      <w:bookmarkStart w:id="152" w:name="_Toc1321126333"/>
      <w:bookmarkStart w:id="153" w:name="_Toc1683560417"/>
      <w:bookmarkStart w:id="154" w:name="_Toc518125468"/>
      <w:bookmarkStart w:id="155" w:name="_Toc1924321138"/>
      <w:r>
        <w:rPr>
          <w:rFonts w:hint="eastAsia" w:ascii="仿宋" w:hAnsi="仿宋" w:eastAsia="仿宋"/>
          <w:b/>
          <w:sz w:val="32"/>
          <w:szCs w:val="32"/>
        </w:rPr>
        <w:t>（</w:t>
      </w:r>
      <w:r>
        <w:rPr>
          <w:rFonts w:hint="eastAsia" w:ascii="仿宋" w:hAnsi="仿宋" w:eastAsia="仿宋"/>
          <w:b/>
          <w:sz w:val="32"/>
          <w:szCs w:val="32"/>
          <w:lang w:eastAsia="zh-CN"/>
        </w:rPr>
        <w:t>四</w:t>
      </w:r>
      <w:r>
        <w:rPr>
          <w:rFonts w:hint="eastAsia" w:ascii="仿宋" w:hAnsi="仿宋" w:eastAsia="仿宋"/>
          <w:b/>
          <w:sz w:val="32"/>
          <w:szCs w:val="32"/>
        </w:rPr>
        <w:t>）</w:t>
      </w:r>
      <w:r>
        <w:rPr>
          <w:rStyle w:val="29"/>
          <w:rFonts w:hint="eastAsia" w:ascii="黑体" w:hAnsi="黑体" w:eastAsia="黑体"/>
          <w:b w:val="0"/>
          <w:lang w:val="en-US" w:eastAsia="zh-CN"/>
        </w:rPr>
        <w:t>预算绩效管理情况</w:t>
      </w:r>
      <w:bookmarkEnd w:id="152"/>
      <w:bookmarkEnd w:id="153"/>
      <w:bookmarkEnd w:id="154"/>
      <w:bookmarkEnd w:id="155"/>
    </w:p>
    <w:p>
      <w:pPr>
        <w:spacing w:line="576"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根据预算绩效管理要求，本</w:t>
      </w:r>
      <w:r>
        <w:rPr>
          <w:rFonts w:hint="eastAsia" w:ascii="仿宋_GB2312" w:eastAsia="仿宋_GB2312" w:cs="Times New Roman"/>
          <w:sz w:val="32"/>
          <w:szCs w:val="32"/>
          <w:lang w:val="en-US" w:eastAsia="zh-CN"/>
        </w:rPr>
        <w:t>单位</w:t>
      </w:r>
      <w:r>
        <w:rPr>
          <w:rFonts w:hint="eastAsia" w:ascii="仿宋_GB2312" w:hAnsi="Times New Roman" w:eastAsia="仿宋_GB2312" w:cs="Times New Roman"/>
          <w:sz w:val="32"/>
          <w:szCs w:val="32"/>
          <w:lang w:val="en-US" w:eastAsia="zh-CN"/>
        </w:rPr>
        <w:t>在2022年度预算编制阶段，组织对</w:t>
      </w:r>
      <w:r>
        <w:rPr>
          <w:rFonts w:hint="eastAsia" w:ascii="仿宋_GB2312" w:eastAsia="仿宋_GB2312" w:cs="Times New Roman"/>
          <w:sz w:val="32"/>
          <w:szCs w:val="32"/>
          <w:lang w:val="en-US" w:eastAsia="zh-CN"/>
        </w:rPr>
        <w:t>文明城市创建、森林防灾减灾、防汛、安全生产、食品安全、大昌沟矸石山治理、公厕改建</w:t>
      </w:r>
      <w:r>
        <w:rPr>
          <w:rFonts w:hint="eastAsia" w:ascii="仿宋_GB2312" w:hAnsi="Times New Roman" w:eastAsia="仿宋_GB2312" w:cs="Times New Roman"/>
          <w:sz w:val="32"/>
          <w:szCs w:val="32"/>
          <w:lang w:val="en-US" w:eastAsia="zh-CN"/>
        </w:rPr>
        <w:t>等</w:t>
      </w:r>
      <w:r>
        <w:rPr>
          <w:rFonts w:hint="eastAsia" w:ascii="仿宋_GB2312" w:eastAsia="仿宋_GB2312" w:cs="Times New Roman"/>
          <w:sz w:val="32"/>
          <w:szCs w:val="32"/>
          <w:lang w:val="en-US" w:eastAsia="zh-CN"/>
        </w:rPr>
        <w:t>38个</w:t>
      </w:r>
      <w:r>
        <w:rPr>
          <w:rFonts w:hint="eastAsia" w:ascii="仿宋_GB2312" w:hAnsi="Times New Roman" w:eastAsia="仿宋_GB2312" w:cs="Times New Roman"/>
          <w:sz w:val="32"/>
          <w:szCs w:val="32"/>
          <w:lang w:val="en-US" w:eastAsia="zh-CN"/>
        </w:rPr>
        <w:t>项目开展了预算事前绩效评估，对</w:t>
      </w:r>
      <w:r>
        <w:rPr>
          <w:rFonts w:hint="eastAsia" w:ascii="仿宋_GB2312" w:eastAsia="仿宋_GB2312" w:cs="Times New Roman"/>
          <w:sz w:val="32"/>
          <w:szCs w:val="32"/>
          <w:lang w:val="en-US" w:eastAsia="zh-CN"/>
        </w:rPr>
        <w:t>38</w:t>
      </w:r>
      <w:r>
        <w:rPr>
          <w:rFonts w:hint="eastAsia" w:ascii="仿宋_GB2312" w:hAnsi="Times New Roman" w:eastAsia="仿宋_GB2312" w:cs="Times New Roman"/>
          <w:sz w:val="32"/>
          <w:szCs w:val="32"/>
          <w:lang w:val="en-US" w:eastAsia="zh-CN"/>
        </w:rPr>
        <w:t>个项目编制了绩效目标，预算执行过程中，选取</w:t>
      </w:r>
      <w:r>
        <w:rPr>
          <w:rFonts w:hint="eastAsia" w:ascii="仿宋_GB2312" w:eastAsia="仿宋_GB2312" w:cs="Times New Roman"/>
          <w:sz w:val="32"/>
          <w:szCs w:val="32"/>
          <w:lang w:val="en-US" w:eastAsia="zh-CN"/>
        </w:rPr>
        <w:t>38</w:t>
      </w:r>
      <w:r>
        <w:rPr>
          <w:rFonts w:hint="eastAsia" w:ascii="仿宋_GB2312" w:hAnsi="Times New Roman" w:eastAsia="仿宋_GB2312" w:cs="Times New Roman"/>
          <w:sz w:val="32"/>
          <w:szCs w:val="32"/>
          <w:lang w:val="en-US" w:eastAsia="zh-CN"/>
        </w:rPr>
        <w:t>个项目开展绩效监控，</w:t>
      </w:r>
      <w:r>
        <w:rPr>
          <w:rFonts w:hint="eastAsia" w:ascii="仿宋_GB2312" w:eastAsia="仿宋_GB2312" w:cs="Times New Roman"/>
          <w:sz w:val="32"/>
          <w:szCs w:val="32"/>
          <w:lang w:val="en-US" w:eastAsia="zh-CN"/>
        </w:rPr>
        <w:t>组织</w:t>
      </w:r>
      <w:r>
        <w:rPr>
          <w:rFonts w:hint="eastAsia" w:ascii="仿宋_GB2312" w:hAnsi="Times New Roman" w:eastAsia="仿宋_GB2312" w:cs="Times New Roman"/>
          <w:sz w:val="32"/>
          <w:szCs w:val="32"/>
          <w:lang w:val="en-US" w:eastAsia="zh-CN"/>
        </w:rPr>
        <w:t>对</w:t>
      </w:r>
      <w:r>
        <w:rPr>
          <w:rFonts w:hint="eastAsia" w:ascii="仿宋_GB2312" w:eastAsia="仿宋_GB2312" w:cs="Times New Roman"/>
          <w:sz w:val="32"/>
          <w:szCs w:val="32"/>
          <w:lang w:val="en-US" w:eastAsia="zh-CN"/>
        </w:rPr>
        <w:t>38</w:t>
      </w:r>
      <w:r>
        <w:rPr>
          <w:rFonts w:hint="eastAsia" w:ascii="仿宋_GB2312" w:hAnsi="Times New Roman" w:eastAsia="仿宋_GB2312" w:cs="Times New Roman"/>
          <w:sz w:val="32"/>
          <w:szCs w:val="32"/>
          <w:lang w:val="en-US" w:eastAsia="zh-CN"/>
        </w:rPr>
        <w:t>个项目开展绩效自评，绩效目标自评表</w:t>
      </w:r>
      <w:r>
        <w:rPr>
          <w:rFonts w:hint="eastAsia" w:ascii="仿宋_GB2312" w:eastAsia="仿宋_GB2312" w:cs="Times New Roman"/>
          <w:sz w:val="32"/>
          <w:szCs w:val="32"/>
          <w:lang w:val="en-US" w:eastAsia="zh-CN"/>
        </w:rPr>
        <w:t>详</w:t>
      </w:r>
      <w:r>
        <w:rPr>
          <w:rFonts w:hint="eastAsia" w:ascii="仿宋_GB2312" w:hAnsi="Times New Roman" w:eastAsia="仿宋_GB2312" w:cs="Times New Roman"/>
          <w:sz w:val="32"/>
          <w:szCs w:val="32"/>
          <w:lang w:val="en-US" w:eastAsia="zh-CN"/>
        </w:rPr>
        <w:t>见第四部分</w:t>
      </w:r>
      <w:r>
        <w:rPr>
          <w:rFonts w:hint="eastAsia" w:ascii="仿宋_GB2312" w:eastAsia="仿宋_GB2312" w:cs="Times New Roman"/>
          <w:sz w:val="32"/>
          <w:szCs w:val="32"/>
          <w:lang w:val="en-US" w:eastAsia="zh-CN"/>
        </w:rPr>
        <w:t>附件</w:t>
      </w:r>
      <w:r>
        <w:rPr>
          <w:rFonts w:hint="eastAsia" w:ascii="仿宋_GB2312" w:hAnsi="Times New Roman" w:eastAsia="仿宋_GB2312" w:cs="Times New Roman"/>
          <w:sz w:val="32"/>
          <w:szCs w:val="32"/>
          <w:lang w:val="en-US" w:eastAsia="zh-CN"/>
        </w:rPr>
        <w:t>。</w:t>
      </w:r>
    </w:p>
    <w:p>
      <w:pPr>
        <w:pStyle w:val="2"/>
        <w:ind w:firstLine="640" w:firstLineChars="200"/>
        <w:rPr>
          <w:rFonts w:hint="eastAsia" w:ascii="仿宋_GB2312" w:eastAsia="仿宋_GB2312"/>
          <w:sz w:val="32"/>
          <w:szCs w:val="32"/>
        </w:rPr>
      </w:pPr>
    </w:p>
    <w:p>
      <w:pPr>
        <w:pStyle w:val="2"/>
        <w:numPr>
          <w:ilvl w:val="0"/>
          <w:numId w:val="0"/>
        </w:numPr>
        <w:rPr>
          <w:rFonts w:hint="eastAsia"/>
          <w:sz w:val="32"/>
          <w:szCs w:val="32"/>
          <w:lang w:val="en-US" w:eastAsia="zh-CN"/>
        </w:rPr>
      </w:pPr>
    </w:p>
    <w:p>
      <w:pPr>
        <w:spacing w:line="600" w:lineRule="exact"/>
        <w:ind w:firstLine="1320" w:firstLineChars="300"/>
        <w:outlineLvl w:val="0"/>
        <w:rPr>
          <w:rStyle w:val="28"/>
          <w:rFonts w:ascii="黑体" w:hAnsi="黑体" w:eastAsia="黑体"/>
          <w:b w:val="0"/>
        </w:rPr>
      </w:pPr>
      <w:bookmarkStart w:id="156" w:name="_Toc1515527097"/>
      <w:bookmarkStart w:id="157" w:name="_Toc15377225"/>
      <w:bookmarkStart w:id="158" w:name="_Toc15396613"/>
      <w:bookmarkStart w:id="159" w:name="_Toc25379564"/>
      <w:bookmarkStart w:id="160" w:name="_Toc871647164"/>
      <w:bookmarkStart w:id="161" w:name="_Toc1700142430"/>
      <w:r>
        <w:rPr>
          <w:rFonts w:hint="eastAsia" w:ascii="黑体" w:hAnsi="黑体" w:eastAsia="黑体"/>
          <w:sz w:val="44"/>
          <w:szCs w:val="44"/>
        </w:rPr>
        <w:t>第三部份   名</w:t>
      </w:r>
      <w:r>
        <w:rPr>
          <w:rStyle w:val="28"/>
          <w:rFonts w:hint="eastAsia" w:ascii="黑体" w:hAnsi="黑体" w:eastAsia="黑体"/>
          <w:b w:val="0"/>
        </w:rPr>
        <w:t>词解释</w:t>
      </w:r>
      <w:bookmarkEnd w:id="156"/>
      <w:bookmarkEnd w:id="157"/>
      <w:bookmarkEnd w:id="158"/>
      <w:bookmarkEnd w:id="159"/>
      <w:bookmarkEnd w:id="160"/>
      <w:bookmarkEnd w:id="161"/>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1.财政拨款收入：指单位从同级财政部门取得的财政预算资金。</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2.一般公共服务支出（类）201政府办公厅（室）及相关机构事务（款）03行政运行（项）01：指反映行政单位（包括实行公务员管理的事业单位）的基本支出。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 一般公共服务支出（类）201政府办公厅（室）及相关机构事务（款）03一般行政管理事务（项）02：指反映行政单位（包括实行公务员管理的事业单位）未单独设置项级科目的其他项目支出。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 一般公共服务支出（类）201政府办公厅（室）及相关机构事务（款）03机关服务（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 一般公共服务支出（类）201政府办公厅（室）及相关机构事务（款）03专项业务活动（项）05：指反映各级政府举行各类重大活动、召开重要会议（如国务院一类会议、国庆招待会、全国劳模大会）的支出，政府机关房地产管理、公务用车管理等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6. 一般公共服务支出（类）201纪检监察事务（款）11  一般行政管理事务（项）02：指反映行政单位（包括实行公务员管理的事业单位）未单独设置项目科目的其他项目支出。 </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7. 一般公共服务支出（类）201组织事务（款）32 一般行政管理事务（项）02：指反映行政单位（包括实行公务员管理的事业单位）未单独设置顶级科目的其他项目支出。 </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8.一般公共服务支出（类）201组织事务（款）32其他组织事务事务支出（项）99：指反映除上述项目以外其他用于中国共产党组织部门的事务支出。 </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9.一般公共服务支出（类）201市场监督管理事务（款）38 其他市场监督管理事务（项）99：指反映用于除上述项目以外其他市场监督管理事务方面的支出。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10.一般公共服务支出（类）201其他一般公共服务支出（款）99 其他一般公共服务支出（项）99：指反映除上述项目以外的其他一般公共服务支出。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11.公共安全支出（类）204国家安全（款）03其他国家安全支出（项）99：指反映用于安全方面的支出。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12.社会保障和就业支出（类）208行政事业单位离退休（款）05行政单位离退休支出（项）01：指反映行政单位（包括实行公务员管理的事业单位）开支的离退休经费。</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13.社会保障和就业支出（类）208行政事业单位离退休（款）05机关事业单位基本养老保险缴费支出（项）05：指反映机关事业单位实施养老保险制度由单位缴纳的基本养老保险费支出。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14.社会保障和就业支出（类）208行政事业单位离退休（款）05机关事业单位职业年金缴费支出（项）06：指反映机关事业单位实施养老保险制度由单位实际缴纳的职业年金支出。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15.社会保障和就业支出（类）208抚恤（款）08死亡抚恤（项）01：指反映按规定用于烈士和牺牲、病故人员家属的一次性和定期抚恤金、丧葬补助费以及烈士褒扬金。</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16.社会保障和就业支出（类）208抚恤（款）08伤残抚恤（项）02：指反映按规定用于伤残人员抚恤金、丧葬补助费和按规定开支的各种伤残补助费。</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17.社会保障和就业支出（类）208特困人员救助供养（款）21农村特困人员救助供养（项）02：指反映按农村特困人员救助供养支出。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18.卫生健康支出（类）210行政事业单位医疗（款）11行政事业单位医疗（项）01：指反映财政部门集中安排的行政单位（包括实行公务员管理事业单位，下同）基本医疗保险缴费经费，未参加医疗保险的行政单位的公费医疗经费，按国家规定享受离休人员、红军老战士待遇的医疗经费。</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19.卫生健康支出（类）210医疗救助（款）13其他医疗救助支出（项）99：指反映除上述项目以外的其他用于医疗救助方面的支出。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20.城乡社区支出（类）212城乡社区管理事务（款）01城管执法（项）0</w:t>
      </w:r>
      <w:r>
        <w:rPr>
          <w:rFonts w:hint="default" w:ascii="仿宋_GB2312" w:eastAsia="仿宋_GB2312" w:cs="Times New Roman"/>
          <w:sz w:val="32"/>
          <w:szCs w:val="32"/>
          <w:lang w:eastAsia="zh-CN"/>
        </w:rPr>
        <w:t>4</w:t>
      </w:r>
      <w:r>
        <w:rPr>
          <w:rFonts w:hint="eastAsia" w:ascii="仿宋_GB2312" w:eastAsia="仿宋_GB2312" w:cs="Times New Roman"/>
          <w:sz w:val="32"/>
          <w:szCs w:val="32"/>
          <w:lang w:val="en-US" w:eastAsia="zh-CN"/>
        </w:rPr>
        <w:t>：指反映城市综合管理执法、加强城市市容和环境卫生管理等方面支出。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21.城乡社区支出（类）212城乡社区环境卫生（款）05城乡社区环境卫生（项）01：指反映城乡社区道路清扫、垃圾清运与处理、公厕建设与维护、园林绿化等方面的支出。</w:t>
      </w:r>
    </w:p>
    <w:p>
      <w:pPr>
        <w:spacing w:line="576" w:lineRule="exact"/>
        <w:ind w:firstLine="64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22.城乡社区支出（类）212</w:t>
      </w:r>
      <w:r>
        <w:rPr>
          <w:rFonts w:hint="default" w:ascii="仿宋_GB2312" w:eastAsia="仿宋_GB2312" w:cs="Times New Roman"/>
          <w:color w:val="auto"/>
          <w:sz w:val="32"/>
          <w:szCs w:val="32"/>
          <w:highlight w:val="none"/>
          <w:lang w:eastAsia="zh-CN"/>
        </w:rPr>
        <w:t>国有土地使用权出让收入安排的支出（款）08农村基础设施建设支出（项）04</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指反映土地出让收入用于农村供水保障、村庄公共设施建设和管护以及与农业农村直接相关的以工代赈等方面的支出。</w:t>
      </w:r>
    </w:p>
    <w:p>
      <w:pPr>
        <w:spacing w:line="576" w:lineRule="exact"/>
        <w:ind w:firstLine="640"/>
        <w:rPr>
          <w:rFonts w:hint="eastAsia" w:ascii="仿宋_GB2312" w:eastAsia="仿宋_GB2312" w:cs="Times New Roman"/>
          <w:color w:val="auto"/>
          <w:sz w:val="32"/>
          <w:szCs w:val="32"/>
          <w:highlight w:val="none"/>
          <w:lang w:val="en-US" w:eastAsia="zh-CN"/>
        </w:rPr>
      </w:pPr>
      <w:r>
        <w:rPr>
          <w:rFonts w:hint="default" w:ascii="仿宋_GB2312" w:eastAsia="仿宋_GB2312" w:cs="Times New Roman"/>
          <w:color w:val="auto"/>
          <w:sz w:val="32"/>
          <w:szCs w:val="32"/>
          <w:highlight w:val="none"/>
          <w:lang w:eastAsia="zh-CN"/>
        </w:rPr>
        <w:t>23.</w:t>
      </w:r>
      <w:r>
        <w:rPr>
          <w:rFonts w:hint="eastAsia" w:ascii="仿宋_GB2312" w:eastAsia="仿宋_GB2312" w:cs="Times New Roman"/>
          <w:color w:val="auto"/>
          <w:sz w:val="32"/>
          <w:szCs w:val="32"/>
          <w:highlight w:val="none"/>
          <w:lang w:val="en-US" w:eastAsia="zh-CN"/>
        </w:rPr>
        <w:t>城乡社区支出（类）212</w:t>
      </w:r>
      <w:r>
        <w:rPr>
          <w:rFonts w:hint="default" w:ascii="仿宋_GB2312" w:eastAsia="仿宋_GB2312" w:cs="Times New Roman"/>
          <w:color w:val="auto"/>
          <w:sz w:val="32"/>
          <w:szCs w:val="32"/>
          <w:highlight w:val="none"/>
          <w:lang w:val="en-US" w:eastAsia="zh-CN"/>
        </w:rPr>
        <w:t>国有土地使用权出让收入安排的支出（款）08</w:t>
      </w:r>
      <w:r>
        <w:rPr>
          <w:rFonts w:hint="default" w:ascii="仿宋_GB2312" w:eastAsia="仿宋_GB2312" w:cs="Times New Roman"/>
          <w:color w:val="auto"/>
          <w:sz w:val="32"/>
          <w:szCs w:val="32"/>
          <w:highlight w:val="none"/>
          <w:lang w:eastAsia="zh-CN"/>
        </w:rPr>
        <w:t>其他国有土地使用权出让收入安排的支出（项）99</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指反映土地出让收入用于其他方面的支出。不包括市县级政府当年按规定用土地出让收入向中央和省级政府缴纳的新增建设用地土地有偿使用费的支出。</w:t>
      </w:r>
    </w:p>
    <w:p>
      <w:pPr>
        <w:spacing w:line="576" w:lineRule="exact"/>
        <w:ind w:firstLine="640" w:firstLineChars="200"/>
        <w:rPr>
          <w:rFonts w:hint="eastAsia" w:ascii="仿宋_GB2312" w:eastAsia="仿宋_GB2312" w:cs="Times New Roman"/>
          <w:sz w:val="32"/>
          <w:szCs w:val="32"/>
          <w:lang w:val="en-US" w:eastAsia="zh-CN"/>
        </w:rPr>
      </w:pPr>
      <w:r>
        <w:rPr>
          <w:rFonts w:hint="default" w:ascii="仿宋_GB2312" w:eastAsia="仿宋_GB2312" w:cs="Times New Roman"/>
          <w:sz w:val="32"/>
          <w:szCs w:val="32"/>
          <w:lang w:eastAsia="zh-CN"/>
        </w:rPr>
        <w:t>24.</w:t>
      </w:r>
      <w:r>
        <w:rPr>
          <w:rFonts w:hint="eastAsia" w:ascii="仿宋_GB2312" w:eastAsia="仿宋_GB2312" w:cs="Times New Roman"/>
          <w:sz w:val="32"/>
          <w:szCs w:val="32"/>
          <w:lang w:val="en-US" w:eastAsia="zh-CN"/>
        </w:rPr>
        <w:t>农林水支出（类）213农业（款）01病虫害控制（项）08：指反映用于病虫鼠害及疫情监测、预报、预防、控制、检疫、防疫所需的仪器、设施、药物、疫苗、种苗，疫畜防治、扑杀补偿及劳务补助、菌（毒）种保藏及动植物及其产品检疫、检测等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w:t>
      </w:r>
      <w:r>
        <w:rPr>
          <w:rFonts w:hint="default" w:ascii="仿宋_GB2312" w:eastAsia="仿宋_GB2312" w:cs="Times New Roman"/>
          <w:sz w:val="32"/>
          <w:szCs w:val="32"/>
          <w:lang w:eastAsia="zh-CN"/>
        </w:rPr>
        <w:t>5</w:t>
      </w:r>
      <w:r>
        <w:rPr>
          <w:rFonts w:hint="eastAsia" w:ascii="仿宋_GB2312" w:eastAsia="仿宋_GB2312" w:cs="Times New Roman"/>
          <w:sz w:val="32"/>
          <w:szCs w:val="32"/>
          <w:lang w:val="en-US" w:eastAsia="zh-CN"/>
        </w:rPr>
        <w:t>.农林水支出（类）213水利（款）03防汛（项）14：指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w:t>
      </w:r>
      <w:r>
        <w:rPr>
          <w:rFonts w:hint="default" w:ascii="仿宋_GB2312" w:eastAsia="仿宋_GB2312" w:cs="Times New Roman"/>
          <w:sz w:val="32"/>
          <w:szCs w:val="32"/>
          <w:lang w:eastAsia="zh-CN"/>
        </w:rPr>
        <w:t>6</w:t>
      </w:r>
      <w:r>
        <w:rPr>
          <w:rFonts w:hint="eastAsia" w:ascii="仿宋_GB2312" w:eastAsia="仿宋_GB2312" w:cs="Times New Roman"/>
          <w:sz w:val="32"/>
          <w:szCs w:val="32"/>
          <w:lang w:val="en-US" w:eastAsia="zh-CN"/>
        </w:rPr>
        <w:t>.农林水支出（类）213农村综合改革（款）07对村民委员会和村党支部的补助（项）05：指反映各级财政对村民委员会和村党支部的补助支出，以及支持建立县级基本财力保障机制安排的村级组织运转奖补资金。</w:t>
      </w:r>
    </w:p>
    <w:p>
      <w:pPr>
        <w:spacing w:line="576" w:lineRule="exact"/>
        <w:ind w:firstLine="640"/>
        <w:rPr>
          <w:rFonts w:hint="eastAsia" w:ascii="仿宋_GB2312" w:eastAsia="仿宋_GB2312" w:cs="Times New Roman"/>
          <w:sz w:val="32"/>
          <w:szCs w:val="32"/>
          <w:lang w:val="en-US" w:eastAsia="zh-CN"/>
        </w:rPr>
      </w:pPr>
      <w:r>
        <w:rPr>
          <w:rFonts w:hint="default" w:ascii="仿宋_GB2312" w:eastAsia="仿宋_GB2312" w:cs="Times New Roman"/>
          <w:sz w:val="32"/>
          <w:szCs w:val="32"/>
          <w:lang w:eastAsia="zh-CN"/>
        </w:rPr>
        <w:t>27</w:t>
      </w:r>
      <w:r>
        <w:rPr>
          <w:rFonts w:hint="eastAsia" w:ascii="仿宋_GB2312" w:eastAsia="仿宋_GB2312" w:cs="Times New Roman"/>
          <w:sz w:val="32"/>
          <w:szCs w:val="32"/>
          <w:lang w:val="en-US" w:eastAsia="zh-CN"/>
        </w:rPr>
        <w:t>.农林水支出（类）213农村综合改革（款）07其他农村综合改革（项）99：指反映除上述项目以外其他用于农村综合改革方面的支出。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28.交通运输支出（类）214公路水路运输（款）01公路和运输安全（项）10：指反映公路和运输安全支出。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29.交通运输支出（类）214公路水路运输（款）01其他公路水路运输支出（项）99：指反映除上述项目以外其他用于公路水路运输方面的支出。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30.住房保障支出（类）221住房改革支出（款）02住房公积金（项）01：指反映行政事业单位按人力资源和社会保障部、财政部规定的基本工资和津贴补贴以及规定比例为职工缴纳的住房公积金。</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31.灾害防治及应急管理支出（类）224应急管理事务（款）01安全监管（项）06：指反映安全生产监管方面的支出。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32.灾害防治及应急管理支出（类）224应急管理事务（款）01应急救援（项）08：指反映安全生产、自然灾害应急救援方面的支出。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33.灾害防治及应急管理支出（类）224应急管理事务（款）01其他应急管理支出（项）99：指反映除上述项目以外其他用于应急管理方面的支出。</w:t>
      </w:r>
    </w:p>
    <w:p>
      <w:pPr>
        <w:spacing w:line="576" w:lineRule="exact"/>
        <w:ind w:firstLine="640"/>
        <w:rPr>
          <w:rFonts w:hint="default" w:ascii="仿宋_GB2312" w:eastAsia="仿宋_GB2312" w:cs="Times New Roman"/>
          <w:color w:val="auto"/>
          <w:sz w:val="32"/>
          <w:szCs w:val="32"/>
          <w:highlight w:val="none"/>
          <w:lang w:val="en-US" w:eastAsia="zh-CN"/>
        </w:rPr>
      </w:pPr>
      <w:r>
        <w:rPr>
          <w:rFonts w:hint="default" w:ascii="仿宋_GB2312" w:eastAsia="仿宋_GB2312" w:cs="Times New Roman"/>
          <w:color w:val="auto"/>
          <w:sz w:val="32"/>
          <w:szCs w:val="32"/>
          <w:highlight w:val="none"/>
          <w:lang w:eastAsia="zh-CN"/>
        </w:rPr>
        <w:t xml:space="preserve"> 3</w:t>
      </w:r>
      <w:r>
        <w:rPr>
          <w:rFonts w:hint="eastAsia" w:ascii="仿宋_GB2312" w:eastAsia="仿宋_GB2312" w:cs="Times New Roman"/>
          <w:color w:val="auto"/>
          <w:sz w:val="32"/>
          <w:szCs w:val="32"/>
          <w:highlight w:val="none"/>
          <w:lang w:val="en-US" w:eastAsia="zh-CN"/>
        </w:rPr>
        <w:t>4</w:t>
      </w:r>
      <w:r>
        <w:rPr>
          <w:rFonts w:hint="default" w:ascii="仿宋_GB2312" w:eastAsia="仿宋_GB2312" w:cs="Times New Roman"/>
          <w:color w:val="auto"/>
          <w:sz w:val="32"/>
          <w:szCs w:val="32"/>
          <w:highlight w:val="none"/>
          <w:lang w:eastAsia="zh-CN"/>
        </w:rPr>
        <w:t>. 交通运输支出（类）224自然灾害救灾及恢复重建支出（款）07自然灾害救灾补助（项）03：</w:t>
      </w:r>
      <w:r>
        <w:rPr>
          <w:rFonts w:hint="eastAsia" w:ascii="仿宋_GB2312" w:eastAsia="仿宋_GB2312" w:cs="Times New Roman"/>
          <w:color w:val="auto"/>
          <w:sz w:val="32"/>
          <w:szCs w:val="32"/>
          <w:highlight w:val="none"/>
          <w:lang w:val="en-US" w:eastAsia="zh-CN"/>
        </w:rPr>
        <w:t>指反映用于应对重大自然灾害应急救援和受灾群众救助的支出。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35.其他支出（类）229彩票公益金安排的支出（款）60用于体育事业的彩票公益金支出（项）03：指反映用于体育事业的彩票公益金支出。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36.基本支出：指为保障机构正常运转、完成日常工作任务而发生的人员支出和公用支出。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37.项目支出：指在基本支出之外为完成特定行政任务和事业发展目标所发生的支出。 </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76" w:lineRule="exact"/>
        <w:ind w:firstLine="640" w:firstLineChars="200"/>
        <w:jc w:val="both"/>
        <w:rPr>
          <w:rFonts w:hint="eastAsia" w:ascii="仿宋_GB2312" w:eastAsia="仿宋_GB2312"/>
          <w:sz w:val="32"/>
          <w:szCs w:val="32"/>
        </w:rPr>
      </w:pPr>
    </w:p>
    <w:p>
      <w:pPr>
        <w:spacing w:line="600" w:lineRule="exact"/>
        <w:jc w:val="center"/>
        <w:outlineLvl w:val="0"/>
        <w:rPr>
          <w:rStyle w:val="28"/>
          <w:rFonts w:ascii="黑体" w:hAnsi="黑体" w:eastAsia="黑体"/>
          <w:b w:val="0"/>
          <w:color w:val="auto"/>
          <w:highlight w:val="none"/>
        </w:rPr>
      </w:pPr>
      <w:bookmarkStart w:id="162" w:name="_Toc1604093927"/>
      <w:bookmarkStart w:id="163" w:name="_Toc571087164"/>
      <w:bookmarkStart w:id="164" w:name="_Toc2115812439"/>
      <w:bookmarkStart w:id="165" w:name="_Toc1916735"/>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162"/>
      <w:bookmarkEnd w:id="163"/>
      <w:bookmarkEnd w:id="164"/>
      <w:bookmarkEnd w:id="165"/>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166" w:name="_Toc67432577"/>
      <w:bookmarkStart w:id="167" w:name="_Toc3650548"/>
      <w:bookmarkStart w:id="168" w:name="_Toc220195971"/>
      <w:bookmarkStart w:id="169" w:name="_Toc391526727"/>
      <w:bookmarkStart w:id="170" w:name="_Toc15396618"/>
      <w:r>
        <w:rPr>
          <w:rFonts w:hint="eastAsia" w:ascii="宋体" w:hAnsi="宋体" w:eastAsia="宋体" w:cs="宋体"/>
          <w:color w:val="auto"/>
          <w:kern w:val="0"/>
          <w:sz w:val="32"/>
          <w:szCs w:val="32"/>
          <w:highlight w:val="none"/>
          <w:lang w:val="en-US" w:eastAsia="zh-CN" w:bidi="ar-SA"/>
        </w:rPr>
        <w:t>部门预算项目支出绩效自评表（2022年度）</w:t>
      </w:r>
      <w:bookmarkEnd w:id="166"/>
      <w:bookmarkEnd w:id="167"/>
      <w:bookmarkEnd w:id="168"/>
      <w:bookmarkEnd w:id="169"/>
    </w:p>
    <w:p>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tbl>
      <w:tblPr>
        <w:tblStyle w:val="16"/>
        <w:tblW w:w="0" w:type="auto"/>
        <w:tblInd w:w="-144" w:type="dxa"/>
        <w:shd w:val="clear" w:color="auto" w:fill="auto"/>
        <w:tblLayout w:type="autofit"/>
        <w:tblCellMar>
          <w:top w:w="0" w:type="dxa"/>
          <w:left w:w="0" w:type="dxa"/>
          <w:bottom w:w="0" w:type="dxa"/>
          <w:right w:w="0" w:type="dxa"/>
        </w:tblCellMar>
      </w:tblPr>
      <w:tblGrid>
        <w:gridCol w:w="390"/>
        <w:gridCol w:w="1697"/>
        <w:gridCol w:w="619"/>
        <w:gridCol w:w="1418"/>
        <w:gridCol w:w="255"/>
        <w:gridCol w:w="672"/>
        <w:gridCol w:w="599"/>
        <w:gridCol w:w="707"/>
        <w:gridCol w:w="390"/>
        <w:gridCol w:w="220"/>
        <w:gridCol w:w="1513"/>
      </w:tblGrid>
      <w:tr>
        <w:tblPrEx>
          <w:tblCellMar>
            <w:top w:w="0" w:type="dxa"/>
            <w:left w:w="0" w:type="dxa"/>
            <w:bottom w:w="0" w:type="dxa"/>
            <w:right w:w="0" w:type="dxa"/>
          </w:tblCellMar>
        </w:tblPrEx>
        <w:trPr>
          <w:trHeight w:val="407" w:hRule="atLeast"/>
        </w:trPr>
        <w:tc>
          <w:tcPr>
            <w:tcW w:w="4116"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C0C0C0"/>
                <w:sz w:val="20"/>
                <w:szCs w:val="20"/>
                <w:u w:val="none"/>
              </w:rPr>
            </w:pPr>
            <w:r>
              <w:rPr>
                <w:rFonts w:ascii="宋体" w:hAnsi="宋体" w:eastAsia="宋体" w:cs="宋体"/>
                <w:i w:val="0"/>
                <w:color w:val="C0C0C0"/>
                <w:kern w:val="0"/>
                <w:sz w:val="20"/>
                <w:szCs w:val="20"/>
                <w:u w:val="none"/>
                <w:lang w:val="en-US" w:eastAsia="zh-CN" w:bidi="ar"/>
              </w:rPr>
              <w:t>报表编号：510000_0013zp</w:t>
            </w:r>
          </w:p>
        </w:tc>
        <w:tc>
          <w:tcPr>
            <w:tcW w:w="2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6"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81"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51088922R000000406019-其他支出</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13.24</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13.24</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13.24</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13.24</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51088922R000000406022-聘用人员经费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66.85</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70.05</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70.05</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66.85</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70.05</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70.05</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51088922R000000406025-工资性支出</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248.39</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355.47</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355.47</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248.39</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355.47</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355.47</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51088922R000000406026-工资性支出（事业）</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172.50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172.50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172.50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172.50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172.50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172.50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51088922R000000406030-离退休费支出</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51088922T000004819987-盘龙镇干部培训经费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51088922T000004820032-盘龙镇公务应急车辆运行经费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51088922T000004820065-盘龙镇党代会、人代会会议费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51088922T000004820085-盘龙镇乡镇纪委、监察委工作经费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51088922T000004820106-盘龙镇党建经费（含两新、工会、团委、妇联、统战、宣传）</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51088922T000004820112-盘龙镇食品安全监督管理</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51088922T000004820126-盘龙镇维稳、信访、安全、防邪、禁毒、扫黑除恶工作经费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51088922T000004820149-盘龙镇张文槐伤残补助</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51088922T000004820174-盘龙敬老院经费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51088922T000004820181-盘龙镇城乡环境综合整治工作经费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51088922T000004820192-盘龙镇文明城市创建</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51088922T000004820208-盘龙镇畜禽防疫经费（含非州猪瘟防控）</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51088922T000004820218-盘龙镇防汛及地质灾害、河长制工作经费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51088922T000004820232-盘龙镇深沟村创建全省乡村振</w:t>
            </w:r>
            <w:r>
              <w:rPr>
                <w:rFonts w:hint="eastAsia" w:ascii="宋体" w:hAnsi="宋体" w:cs="宋体"/>
                <w:i w:val="0"/>
                <w:color w:val="000000"/>
                <w:kern w:val="0"/>
                <w:sz w:val="18"/>
                <w:szCs w:val="18"/>
                <w:u w:val="none"/>
                <w:lang w:val="en-US" w:eastAsia="zh-CN" w:bidi="ar"/>
              </w:rPr>
              <w:t>兴</w:t>
            </w:r>
            <w:r>
              <w:rPr>
                <w:rFonts w:ascii="宋体" w:hAnsi="宋体" w:eastAsia="宋体" w:cs="宋体"/>
                <w:i w:val="0"/>
                <w:color w:val="000000"/>
                <w:kern w:val="0"/>
                <w:sz w:val="18"/>
                <w:szCs w:val="18"/>
                <w:u w:val="none"/>
                <w:lang w:val="en-US" w:eastAsia="zh-CN" w:bidi="ar"/>
              </w:rPr>
              <w:t>示范村</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51088922T000004820250-盘龙镇农村道路交通安全管理</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51088922T000004820264-盘龙镇农房违建整治工作经费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51088922T000004820274-盘龙镇安全生产监管工作经费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51088922T000004820284-盘龙镇森林防火、防灾及森林资源保护工作经费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51088922T000004820290-盘龙镇伙食团补助经费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15.48</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15.48</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15.48</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15.48</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51088922T000004820297-盘龙镇空港物流产业园运行经费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51088922T000004820305-盘龙镇秦巴生物医药产业园运行经费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51088922T000005298168-盘龙项目建设</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项目工程款、设计费</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项目工程款、设计费</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9500000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51088922T000005325754-盘龙村级公厕改建</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深沟村、新龙村公厕改建</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20.12</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20.12</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20.12</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20.12</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20.12</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20.12</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深沟村、新龙村公厕改建</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201200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51088922T000005655822-盘龙陵宝二线项目补偿款</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陵宝二线项目补偿款</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10.51</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10.51</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10.51</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10.51</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陵宝二线项目补偿款</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51088922T000005954461-赵国敏死亡抚恤</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5.87</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5.87</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5.87</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5.87</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5.87</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5.87</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51088922T000006112162-盘龙镇仕农村路网改善工程</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51088922T000006572003-盘龙镇自然灾害应急处置项目</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应急处置项目</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应急处置项目</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51088922T000007061072-盘龙镇2021年未休年休假工资报酬</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51088922T000007088046-盘龙镇新龙村冻库建设项目</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51088922T000007088088-盘龙镇新龙村党群服务中心建设</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51088922T000007176830-大昌沟煤矿工伤医疗费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51088922T000007328206-盘龙拆迁项目更正</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751.84</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751.84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751.84</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751.84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51088922T000007360293-三等功奖金</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51088922Y000000406033-定额公用经费（事业）</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67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4"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控制率[计算方法为：（三公经费实际支出数/预算安排数]×100%）</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51088922Y000000406034-定额公用经费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67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4"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控制率[计算方法为：（三公经费实际支出数/预算安排数]×100%）</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51088922Y000000406037-其他公用经费（福利、工会、公车补贴、党建、退休活动）</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24.07</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24.07</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24.07</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24.07</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24.07</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24.07</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67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4"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控制率[计算方法为：（三公经费实际支出数/预算安排数]×100%）</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51088922Y000000421923-定额公用经费（聘用）</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67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904"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控制率[计算方法为：（三公经费实际支出数/预算安排数]×100%）</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51088922Y000004832333-村社运行经费</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确保村级基层组织各项工作正常开展，包括村委会办公、廉委、党建及农村基础设施和环境类、农业生产服务类、农村生活服务类、农村社会管理类项目的运行维护。</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公路清理、垃圾清运</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51088922Y000004832342-村社干部报酬</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10个村、3个社区、69个村（居）民小组人员工资、社区保险</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364.30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364.30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364.30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364.30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364.30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364.30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67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发放人数</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24286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元/人·次</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51088923T000008270084-盘龙自然灾害救灾资金</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51088923T000008273432-盘龙乡村人才振兴专项资金</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51088923T000008273660-盘龙大昌沟煤矿矸石山治理</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8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51088923T000008803097-盘龙全民健身设施建设项目</w:t>
            </w:r>
          </w:p>
        </w:tc>
      </w:tr>
      <w:tr>
        <w:tblPrEx>
          <w:tblCellMar>
            <w:top w:w="0" w:type="dxa"/>
            <w:left w:w="0" w:type="dxa"/>
            <w:bottom w:w="0" w:type="dxa"/>
            <w:right w:w="0" w:type="dxa"/>
          </w:tblCellMar>
        </w:tblPrEx>
        <w:trPr>
          <w:trHeight w:val="51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广元市利州区盘龙镇人民政府部门</w:t>
            </w:r>
          </w:p>
        </w:tc>
        <w:tc>
          <w:tcPr>
            <w:tcW w:w="71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广元市利州区盘龙镇人民政府</w:t>
            </w:r>
          </w:p>
        </w:tc>
      </w:tr>
      <w:tr>
        <w:tblPrEx>
          <w:tblCellMar>
            <w:top w:w="0" w:type="dxa"/>
            <w:left w:w="0" w:type="dxa"/>
            <w:bottom w:w="0" w:type="dxa"/>
            <w:right w:w="0" w:type="dxa"/>
          </w:tblCellMar>
        </w:tblPrEx>
        <w:trPr>
          <w:trHeight w:val="286"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84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1、报表说明:该报表查询项目信息、绩效目标信息、预算及执行情况，用于预算单位查询导出开展项目自评。</w:t>
            </w:r>
          </w:p>
        </w:tc>
      </w:tr>
      <w:tr>
        <w:tblPrEx>
          <w:tblCellMar>
            <w:top w:w="0" w:type="dxa"/>
            <w:left w:w="0" w:type="dxa"/>
            <w:bottom w:w="0" w:type="dxa"/>
            <w:right w:w="0" w:type="dxa"/>
          </w:tblCellMar>
        </w:tblPrEx>
        <w:trPr>
          <w:trHeight w:val="286" w:hRule="atLeast"/>
        </w:trPr>
        <w:tc>
          <w:tcPr>
            <w:tcW w:w="84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CellMar>
            <w:top w:w="0" w:type="dxa"/>
            <w:left w:w="0" w:type="dxa"/>
            <w:bottom w:w="0" w:type="dxa"/>
            <w:right w:w="0" w:type="dxa"/>
          </w:tblCellMar>
        </w:tblPrEx>
        <w:trPr>
          <w:trHeight w:val="286" w:hRule="atLeast"/>
        </w:trPr>
        <w:tc>
          <w:tcPr>
            <w:tcW w:w="84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w:t>
            </w:r>
          </w:p>
        </w:tc>
      </w:tr>
      <w:tr>
        <w:tblPrEx>
          <w:tblCellMar>
            <w:top w:w="0" w:type="dxa"/>
            <w:left w:w="0" w:type="dxa"/>
            <w:bottom w:w="0" w:type="dxa"/>
            <w:right w:w="0" w:type="dxa"/>
          </w:tblCellMar>
        </w:tblPrEx>
        <w:trPr>
          <w:trHeight w:val="286" w:hRule="atLeast"/>
        </w:trPr>
        <w:tc>
          <w:tcPr>
            <w:tcW w:w="84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适用用户：部门用户、单位用户</w:t>
            </w: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2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仿宋" w:hAnsi="仿宋" w:eastAsia="仿宋"/>
          <w:b w:val="0"/>
          <w:color w:val="auto"/>
          <w:highlight w:val="none"/>
        </w:rPr>
      </w:pPr>
      <w:bookmarkStart w:id="171" w:name="_Toc238371604"/>
      <w:bookmarkStart w:id="172" w:name="_Toc1864238203"/>
      <w:bookmarkStart w:id="173" w:name="_Toc1478411746"/>
      <w:bookmarkStart w:id="174" w:name="_Toc1009685709"/>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170"/>
      <w:bookmarkEnd w:id="171"/>
      <w:bookmarkEnd w:id="172"/>
      <w:bookmarkEnd w:id="173"/>
      <w:bookmarkEnd w:id="174"/>
    </w:p>
    <w:p>
      <w:pPr>
        <w:pStyle w:val="4"/>
        <w:rPr>
          <w:rFonts w:ascii="仿宋" w:hAnsi="仿宋" w:eastAsia="仿宋"/>
          <w:color w:val="auto"/>
          <w:highlight w:val="none"/>
        </w:rPr>
      </w:pPr>
      <w:bookmarkStart w:id="175" w:name="_Toc775107257"/>
      <w:bookmarkStart w:id="176" w:name="_Toc1675941517"/>
      <w:bookmarkStart w:id="177" w:name="_Toc281555210"/>
      <w:bookmarkStart w:id="178" w:name="_Toc5902703"/>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175"/>
      <w:bookmarkEnd w:id="176"/>
      <w:bookmarkEnd w:id="177"/>
      <w:bookmarkEnd w:id="178"/>
    </w:p>
    <w:p>
      <w:pPr>
        <w:pStyle w:val="4"/>
        <w:rPr>
          <w:rFonts w:ascii="仿宋" w:hAnsi="仿宋" w:eastAsia="仿宋"/>
          <w:color w:val="auto"/>
          <w:highlight w:val="none"/>
        </w:rPr>
      </w:pPr>
      <w:bookmarkStart w:id="179" w:name="_Toc1575278453"/>
      <w:bookmarkStart w:id="180" w:name="_Toc1962653612"/>
      <w:bookmarkStart w:id="181" w:name="_Toc1552408095"/>
      <w:bookmarkStart w:id="182" w:name="_Toc1718738593"/>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179"/>
      <w:bookmarkEnd w:id="180"/>
      <w:bookmarkEnd w:id="181"/>
      <w:bookmarkEnd w:id="182"/>
    </w:p>
    <w:p>
      <w:pPr>
        <w:pStyle w:val="4"/>
        <w:rPr>
          <w:rFonts w:ascii="仿宋" w:hAnsi="仿宋" w:eastAsia="仿宋"/>
          <w:color w:val="auto"/>
          <w:highlight w:val="none"/>
        </w:rPr>
      </w:pPr>
      <w:bookmarkStart w:id="183" w:name="_Toc1949910147"/>
      <w:bookmarkStart w:id="184" w:name="_Toc2133732732"/>
      <w:bookmarkStart w:id="185" w:name="_Toc1176738104"/>
      <w:bookmarkStart w:id="186" w:name="_Toc662910698"/>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183"/>
      <w:bookmarkEnd w:id="184"/>
      <w:bookmarkEnd w:id="185"/>
      <w:bookmarkEnd w:id="186"/>
    </w:p>
    <w:p>
      <w:pPr>
        <w:pStyle w:val="4"/>
        <w:rPr>
          <w:rFonts w:ascii="仿宋" w:hAnsi="仿宋" w:eastAsia="仿宋"/>
          <w:b w:val="0"/>
          <w:color w:val="auto"/>
          <w:highlight w:val="none"/>
        </w:rPr>
      </w:pPr>
      <w:bookmarkStart w:id="187" w:name="_Toc1236448913"/>
      <w:bookmarkStart w:id="188" w:name="_Toc1528786470"/>
      <w:bookmarkStart w:id="189" w:name="_Toc373332222"/>
      <w:bookmarkStart w:id="190" w:name="_Toc1053316304"/>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187"/>
      <w:bookmarkEnd w:id="188"/>
      <w:bookmarkEnd w:id="189"/>
      <w:bookmarkEnd w:id="190"/>
    </w:p>
    <w:p>
      <w:pPr>
        <w:pStyle w:val="4"/>
        <w:rPr>
          <w:rStyle w:val="29"/>
          <w:rFonts w:ascii="仿宋" w:hAnsi="仿宋" w:eastAsia="仿宋"/>
          <w:b w:val="0"/>
          <w:bCs w:val="0"/>
          <w:color w:val="auto"/>
          <w:highlight w:val="none"/>
        </w:rPr>
      </w:pPr>
      <w:bookmarkStart w:id="191" w:name="_Toc917008151"/>
      <w:bookmarkStart w:id="192" w:name="_Toc2049124297"/>
      <w:bookmarkStart w:id="193" w:name="_Toc888161894"/>
      <w:bookmarkStart w:id="194" w:name="_Toc1571631236"/>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191"/>
      <w:bookmarkEnd w:id="192"/>
      <w:bookmarkEnd w:id="193"/>
      <w:bookmarkEnd w:id="194"/>
    </w:p>
    <w:p>
      <w:pPr>
        <w:pStyle w:val="4"/>
        <w:rPr>
          <w:rFonts w:ascii="仿宋" w:hAnsi="仿宋" w:eastAsia="仿宋"/>
          <w:color w:val="auto"/>
          <w:highlight w:val="none"/>
        </w:rPr>
      </w:pPr>
      <w:bookmarkStart w:id="195" w:name="_Toc1378358576"/>
      <w:bookmarkStart w:id="196" w:name="_Toc2113537963"/>
      <w:bookmarkStart w:id="197" w:name="_Toc230429077"/>
      <w:bookmarkStart w:id="198" w:name="_Toc218378227"/>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195"/>
      <w:bookmarkEnd w:id="196"/>
      <w:bookmarkEnd w:id="197"/>
      <w:bookmarkEnd w:id="198"/>
    </w:p>
    <w:p>
      <w:pPr>
        <w:pStyle w:val="4"/>
        <w:rPr>
          <w:rFonts w:ascii="仿宋" w:hAnsi="仿宋" w:eastAsia="仿宋"/>
          <w:color w:val="auto"/>
          <w:highlight w:val="none"/>
        </w:rPr>
      </w:pPr>
      <w:bookmarkStart w:id="199" w:name="_Toc1219454798"/>
      <w:bookmarkStart w:id="200" w:name="_Toc1671882367"/>
      <w:bookmarkStart w:id="201" w:name="_Toc26017375"/>
      <w:bookmarkStart w:id="202" w:name="_Toc1617683536"/>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199"/>
      <w:bookmarkEnd w:id="200"/>
      <w:bookmarkEnd w:id="201"/>
      <w:bookmarkEnd w:id="202"/>
    </w:p>
    <w:p>
      <w:pPr>
        <w:pStyle w:val="4"/>
        <w:rPr>
          <w:rFonts w:ascii="仿宋" w:hAnsi="仿宋" w:eastAsia="仿宋"/>
          <w:color w:val="auto"/>
          <w:highlight w:val="none"/>
        </w:rPr>
      </w:pPr>
      <w:bookmarkStart w:id="203" w:name="_Toc1190932127"/>
      <w:bookmarkStart w:id="204" w:name="_Toc162375012"/>
      <w:bookmarkStart w:id="205" w:name="_Toc1256766934"/>
      <w:bookmarkStart w:id="206" w:name="_Toc56953638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203"/>
      <w:bookmarkEnd w:id="204"/>
      <w:bookmarkEnd w:id="205"/>
      <w:bookmarkEnd w:id="206"/>
    </w:p>
    <w:p>
      <w:pPr>
        <w:pStyle w:val="4"/>
        <w:rPr>
          <w:rFonts w:ascii="仿宋" w:hAnsi="仿宋" w:eastAsia="仿宋"/>
          <w:color w:val="auto"/>
          <w:highlight w:val="none"/>
        </w:rPr>
      </w:pPr>
      <w:bookmarkStart w:id="207" w:name="_Toc1894964713"/>
      <w:bookmarkStart w:id="208" w:name="_Toc237694675"/>
      <w:bookmarkStart w:id="209" w:name="_Toc1150410903"/>
      <w:bookmarkStart w:id="210" w:name="_Toc1314631249"/>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207"/>
      <w:bookmarkEnd w:id="208"/>
      <w:bookmarkEnd w:id="209"/>
      <w:bookmarkEnd w:id="210"/>
    </w:p>
    <w:p>
      <w:pPr>
        <w:pStyle w:val="4"/>
        <w:rPr>
          <w:rFonts w:ascii="仿宋" w:hAnsi="仿宋" w:eastAsia="仿宋"/>
          <w:color w:val="auto"/>
          <w:highlight w:val="none"/>
        </w:rPr>
      </w:pPr>
      <w:bookmarkStart w:id="211" w:name="_Toc1997340056"/>
      <w:bookmarkStart w:id="212" w:name="_Toc1319255517"/>
      <w:bookmarkStart w:id="213" w:name="_Toc330805400"/>
      <w:bookmarkStart w:id="214" w:name="_Toc1354421522"/>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211"/>
      <w:bookmarkEnd w:id="212"/>
      <w:bookmarkEnd w:id="213"/>
      <w:bookmarkEnd w:id="214"/>
    </w:p>
    <w:p>
      <w:pPr>
        <w:pStyle w:val="4"/>
        <w:rPr>
          <w:rFonts w:ascii="仿宋" w:hAnsi="仿宋" w:eastAsia="仿宋"/>
          <w:color w:val="auto"/>
          <w:highlight w:val="none"/>
        </w:rPr>
      </w:pPr>
      <w:bookmarkStart w:id="215" w:name="_Toc1309399176"/>
      <w:bookmarkStart w:id="216" w:name="_Toc1876967429"/>
      <w:bookmarkStart w:id="217" w:name="_Toc1897729151"/>
      <w:bookmarkStart w:id="218" w:name="_Toc2032339165"/>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215"/>
      <w:bookmarkEnd w:id="216"/>
      <w:bookmarkEnd w:id="217"/>
      <w:bookmarkEnd w:id="218"/>
    </w:p>
    <w:p>
      <w:pPr>
        <w:pStyle w:val="4"/>
        <w:rPr>
          <w:rFonts w:ascii="仿宋" w:hAnsi="仿宋" w:eastAsia="仿宋"/>
          <w:color w:val="auto"/>
          <w:highlight w:val="none"/>
        </w:rPr>
      </w:pPr>
      <w:bookmarkStart w:id="219" w:name="_Toc979806887"/>
      <w:bookmarkStart w:id="220" w:name="_Toc413947682"/>
      <w:bookmarkStart w:id="221" w:name="_Toc984401266"/>
      <w:bookmarkStart w:id="222" w:name="_Toc923890681"/>
      <w:r>
        <w:rPr>
          <w:rStyle w:val="29"/>
          <w:rFonts w:hint="eastAsia" w:ascii="仿宋" w:hAnsi="仿宋" w:eastAsia="仿宋"/>
          <w:b w:val="0"/>
          <w:bCs w:val="0"/>
          <w:color w:val="auto"/>
          <w:highlight w:val="none"/>
        </w:rPr>
        <w:t>十二、</w:t>
      </w:r>
      <w:r>
        <w:rPr>
          <w:rStyle w:val="29"/>
          <w:rFonts w:hint="eastAsia" w:ascii="仿宋" w:hAnsi="仿宋" w:eastAsia="仿宋"/>
          <w:b w:val="0"/>
          <w:bCs w:val="0"/>
          <w:color w:val="auto"/>
          <w:highlight w:val="none"/>
          <w:lang w:eastAsia="zh-CN"/>
        </w:rPr>
        <w:t>国有资本经营预算财政拨款支出决算表</w:t>
      </w:r>
      <w:bookmarkEnd w:id="219"/>
      <w:bookmarkEnd w:id="220"/>
      <w:bookmarkEnd w:id="221"/>
      <w:bookmarkEnd w:id="222"/>
    </w:p>
    <w:p>
      <w:pPr>
        <w:pStyle w:val="4"/>
        <w:rPr>
          <w:rFonts w:hint="eastAsia" w:eastAsia="仿宋"/>
          <w:color w:val="auto"/>
          <w:highlight w:val="none"/>
          <w:lang w:eastAsia="zh-CN"/>
        </w:rPr>
      </w:pPr>
      <w:bookmarkStart w:id="223" w:name="_Toc536457430"/>
      <w:bookmarkStart w:id="224" w:name="_Toc1018361050"/>
      <w:bookmarkStart w:id="225" w:name="_Toc1237800488"/>
      <w:bookmarkStart w:id="226" w:name="_Toc186564562"/>
      <w:r>
        <w:rPr>
          <w:rStyle w:val="29"/>
          <w:rFonts w:hint="eastAsia" w:ascii="仿宋" w:hAnsi="仿宋" w:eastAsia="仿宋"/>
          <w:b w:val="0"/>
          <w:bCs w:val="0"/>
          <w:color w:val="auto"/>
          <w:highlight w:val="none"/>
        </w:rPr>
        <w:t>十三、</w:t>
      </w:r>
      <w:r>
        <w:rPr>
          <w:rStyle w:val="29"/>
          <w:rFonts w:hint="eastAsia" w:ascii="仿宋" w:hAnsi="仿宋" w:eastAsia="仿宋"/>
          <w:b w:val="0"/>
          <w:bCs w:val="0"/>
          <w:color w:val="auto"/>
          <w:highlight w:val="none"/>
          <w:lang w:eastAsia="zh-CN"/>
        </w:rPr>
        <w:t>财政拨款“三公”经费支出决算表</w:t>
      </w:r>
      <w:bookmarkEnd w:id="223"/>
      <w:bookmarkEnd w:id="224"/>
      <w:bookmarkEnd w:id="225"/>
      <w:bookmarkEnd w:id="226"/>
    </w:p>
    <w:p>
      <w:pPr>
        <w:pStyle w:val="26"/>
        <w:spacing w:line="576" w:lineRule="exact"/>
        <w:ind w:firstLine="640" w:firstLineChars="200"/>
        <w:jc w:val="both"/>
        <w:rPr>
          <w:rFonts w:hint="eastAsia" w:ascii="仿宋_GB2312" w:eastAsia="仿宋_GB2312"/>
          <w:sz w:val="32"/>
          <w:szCs w:val="32"/>
        </w:rPr>
      </w:pPr>
    </w:p>
    <w:p>
      <w:pPr>
        <w:rPr>
          <w:rFonts w:eastAsia="仿宋"/>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1"/>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4231261"/>
                          </w:sdtPr>
                          <w:sdtContent>
                            <w:p>
                              <w:pPr>
                                <w:pStyle w:val="11"/>
                                <w:jc w:val="center"/>
                              </w:pPr>
                              <w:r>
                                <w:fldChar w:fldCharType="begin"/>
                              </w:r>
                              <w:r>
                                <w:instrText xml:space="preserve">PAGE   \* MERGEFORMAT</w:instrText>
                              </w:r>
                              <w:r>
                                <w:fldChar w:fldCharType="separate"/>
                              </w:r>
                              <w:r>
                                <w:rPr>
                                  <w:lang w:val="zh-CN"/>
                                </w:rPr>
                                <w:t>13</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sdt>
                    <w:sdtPr>
                      <w:id w:val="334231261"/>
                    </w:sdtPr>
                    <w:sdtContent>
                      <w:p>
                        <w:pPr>
                          <w:pStyle w:val="11"/>
                          <w:jc w:val="center"/>
                        </w:pPr>
                        <w:r>
                          <w:fldChar w:fldCharType="begin"/>
                        </w:r>
                        <w:r>
                          <w:instrText xml:space="preserve">PAGE   \* MERGEFORMAT</w:instrText>
                        </w:r>
                        <w:r>
                          <w:fldChar w:fldCharType="separate"/>
                        </w:r>
                        <w:r>
                          <w:rPr>
                            <w:lang w:val="zh-CN"/>
                          </w:rPr>
                          <w:t>13</w:t>
                        </w:r>
                        <w:r>
                          <w:fldChar w:fldCharType="end"/>
                        </w:r>
                      </w:p>
                    </w:sdtContent>
                  </w:sdt>
                  <w:p>
                    <w:pPr>
                      <w:pStyle w:val="2"/>
                    </w:pP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11"/>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91241"/>
    <w:multiLevelType w:val="singleLevel"/>
    <w:tmpl w:val="C5091241"/>
    <w:lvl w:ilvl="0" w:tentative="0">
      <w:start w:val="1"/>
      <w:numFmt w:val="decimal"/>
      <w:lvlText w:val="%1."/>
      <w:lvlJc w:val="left"/>
      <w:pPr>
        <w:tabs>
          <w:tab w:val="left" w:pos="425"/>
        </w:tabs>
        <w:ind w:left="425" w:leftChars="0" w:hanging="425" w:firstLineChars="0"/>
      </w:pPr>
      <w:rPr>
        <w:rFonts w:hint="default"/>
      </w:rPr>
    </w:lvl>
  </w:abstractNum>
  <w:abstractNum w:abstractNumId="1">
    <w:nsid w:val="EE6F9866"/>
    <w:multiLevelType w:val="singleLevel"/>
    <w:tmpl w:val="EE6F9866"/>
    <w:lvl w:ilvl="0" w:tentative="0">
      <w:start w:val="1"/>
      <w:numFmt w:val="decimal"/>
      <w:lvlText w:val="%1."/>
      <w:lvlJc w:val="left"/>
      <w:pPr>
        <w:tabs>
          <w:tab w:val="left" w:pos="312"/>
        </w:tabs>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jMzN2I1ZjUzMzIzMDlhNjczNTc4ZDBhYjE5OWYifQ=="/>
  </w:docVars>
  <w:rsids>
    <w:rsidRoot w:val="00F1361C"/>
    <w:rsid w:val="000222C6"/>
    <w:rsid w:val="0002549F"/>
    <w:rsid w:val="000367D5"/>
    <w:rsid w:val="000468DB"/>
    <w:rsid w:val="0006487A"/>
    <w:rsid w:val="00065F8F"/>
    <w:rsid w:val="00070A43"/>
    <w:rsid w:val="000768F2"/>
    <w:rsid w:val="0009184B"/>
    <w:rsid w:val="00094236"/>
    <w:rsid w:val="0009593C"/>
    <w:rsid w:val="00097322"/>
    <w:rsid w:val="000A6A92"/>
    <w:rsid w:val="000B047F"/>
    <w:rsid w:val="000B354E"/>
    <w:rsid w:val="000B5923"/>
    <w:rsid w:val="000B5A48"/>
    <w:rsid w:val="000B6FF3"/>
    <w:rsid w:val="000C3467"/>
    <w:rsid w:val="000C3CA6"/>
    <w:rsid w:val="000D1267"/>
    <w:rsid w:val="000D1D50"/>
    <w:rsid w:val="000D5782"/>
    <w:rsid w:val="000E38E8"/>
    <w:rsid w:val="000E6613"/>
    <w:rsid w:val="000E7119"/>
    <w:rsid w:val="00114E9B"/>
    <w:rsid w:val="00142216"/>
    <w:rsid w:val="00144D6A"/>
    <w:rsid w:val="0014729F"/>
    <w:rsid w:val="00157BAB"/>
    <w:rsid w:val="001654D1"/>
    <w:rsid w:val="00174518"/>
    <w:rsid w:val="0018106D"/>
    <w:rsid w:val="001877A7"/>
    <w:rsid w:val="00191536"/>
    <w:rsid w:val="00196687"/>
    <w:rsid w:val="001A5F12"/>
    <w:rsid w:val="001C0962"/>
    <w:rsid w:val="001D7531"/>
    <w:rsid w:val="001E737D"/>
    <w:rsid w:val="001F0592"/>
    <w:rsid w:val="001F7506"/>
    <w:rsid w:val="002006CD"/>
    <w:rsid w:val="00202B36"/>
    <w:rsid w:val="00204B7A"/>
    <w:rsid w:val="00204CDE"/>
    <w:rsid w:val="0021101A"/>
    <w:rsid w:val="00220536"/>
    <w:rsid w:val="00220A0B"/>
    <w:rsid w:val="00235629"/>
    <w:rsid w:val="00260C38"/>
    <w:rsid w:val="002616C0"/>
    <w:rsid w:val="00265372"/>
    <w:rsid w:val="002662AA"/>
    <w:rsid w:val="00280496"/>
    <w:rsid w:val="00294DC9"/>
    <w:rsid w:val="00295495"/>
    <w:rsid w:val="002A31DE"/>
    <w:rsid w:val="002B2613"/>
    <w:rsid w:val="002C6D5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954"/>
    <w:rsid w:val="00406254"/>
    <w:rsid w:val="004118E9"/>
    <w:rsid w:val="004223DE"/>
    <w:rsid w:val="00434489"/>
    <w:rsid w:val="00437085"/>
    <w:rsid w:val="00443880"/>
    <w:rsid w:val="004464F4"/>
    <w:rsid w:val="004553D4"/>
    <w:rsid w:val="00471401"/>
    <w:rsid w:val="00473F31"/>
    <w:rsid w:val="0048263A"/>
    <w:rsid w:val="00487E5D"/>
    <w:rsid w:val="004A711F"/>
    <w:rsid w:val="004B199D"/>
    <w:rsid w:val="004B4690"/>
    <w:rsid w:val="004E0A2D"/>
    <w:rsid w:val="004E1D8A"/>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6C7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79CF"/>
    <w:rsid w:val="0066343B"/>
    <w:rsid w:val="00664777"/>
    <w:rsid w:val="006748A4"/>
    <w:rsid w:val="00681A31"/>
    <w:rsid w:val="00683E73"/>
    <w:rsid w:val="006A3141"/>
    <w:rsid w:val="006A5E34"/>
    <w:rsid w:val="006B2422"/>
    <w:rsid w:val="006B2B9A"/>
    <w:rsid w:val="006C1937"/>
    <w:rsid w:val="006E74B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1F53"/>
    <w:rsid w:val="00853718"/>
    <w:rsid w:val="00855221"/>
    <w:rsid w:val="00860645"/>
    <w:rsid w:val="00871F71"/>
    <w:rsid w:val="00872FD8"/>
    <w:rsid w:val="00885AF4"/>
    <w:rsid w:val="008939CD"/>
    <w:rsid w:val="008B768C"/>
    <w:rsid w:val="008C4DB1"/>
    <w:rsid w:val="008C4EAF"/>
    <w:rsid w:val="008C5176"/>
    <w:rsid w:val="008C7FD0"/>
    <w:rsid w:val="008E1DE7"/>
    <w:rsid w:val="008E4D0E"/>
    <w:rsid w:val="008E707C"/>
    <w:rsid w:val="00900B08"/>
    <w:rsid w:val="00902155"/>
    <w:rsid w:val="00902FA3"/>
    <w:rsid w:val="00903AFE"/>
    <w:rsid w:val="0092325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ACB"/>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E55"/>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4D38"/>
    <w:rsid w:val="00BF5BD6"/>
    <w:rsid w:val="00C03755"/>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E7C7C"/>
    <w:rsid w:val="00D00095"/>
    <w:rsid w:val="00D114F0"/>
    <w:rsid w:val="00D20620"/>
    <w:rsid w:val="00D254F7"/>
    <w:rsid w:val="00D26091"/>
    <w:rsid w:val="00D2685C"/>
    <w:rsid w:val="00D34E7C"/>
    <w:rsid w:val="00D35489"/>
    <w:rsid w:val="00D36AFE"/>
    <w:rsid w:val="00D50257"/>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803"/>
    <w:rsid w:val="00E568DF"/>
    <w:rsid w:val="00E64269"/>
    <w:rsid w:val="00E82267"/>
    <w:rsid w:val="00E853CE"/>
    <w:rsid w:val="00E867B6"/>
    <w:rsid w:val="00EA010F"/>
    <w:rsid w:val="00ED1B63"/>
    <w:rsid w:val="00ED3C1F"/>
    <w:rsid w:val="00ED4085"/>
    <w:rsid w:val="00ED420E"/>
    <w:rsid w:val="00ED6FBE"/>
    <w:rsid w:val="00EE2F57"/>
    <w:rsid w:val="00EF27D1"/>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B3774"/>
    <w:rsid w:val="02A17F8F"/>
    <w:rsid w:val="030F1160"/>
    <w:rsid w:val="03114747"/>
    <w:rsid w:val="03227BB2"/>
    <w:rsid w:val="03921015"/>
    <w:rsid w:val="046B6B65"/>
    <w:rsid w:val="048A61A9"/>
    <w:rsid w:val="04D42CED"/>
    <w:rsid w:val="05755524"/>
    <w:rsid w:val="05BC65FA"/>
    <w:rsid w:val="072C146F"/>
    <w:rsid w:val="07C3023E"/>
    <w:rsid w:val="08C3550C"/>
    <w:rsid w:val="09DFD337"/>
    <w:rsid w:val="0A2032A3"/>
    <w:rsid w:val="0A7F6A94"/>
    <w:rsid w:val="0B8A37D8"/>
    <w:rsid w:val="0BF63789"/>
    <w:rsid w:val="0C557C1E"/>
    <w:rsid w:val="0E083864"/>
    <w:rsid w:val="0E2D0742"/>
    <w:rsid w:val="0F362494"/>
    <w:rsid w:val="0F68240D"/>
    <w:rsid w:val="107A448A"/>
    <w:rsid w:val="10971406"/>
    <w:rsid w:val="10C055FF"/>
    <w:rsid w:val="10DA43D7"/>
    <w:rsid w:val="118107EC"/>
    <w:rsid w:val="11DD6519"/>
    <w:rsid w:val="11EED4DE"/>
    <w:rsid w:val="140D2CBA"/>
    <w:rsid w:val="14267330"/>
    <w:rsid w:val="14E004BA"/>
    <w:rsid w:val="16BB723D"/>
    <w:rsid w:val="18015F3F"/>
    <w:rsid w:val="18356546"/>
    <w:rsid w:val="18671AB4"/>
    <w:rsid w:val="1B272DC8"/>
    <w:rsid w:val="1B4B2E21"/>
    <w:rsid w:val="1BE8440E"/>
    <w:rsid w:val="1D155CEE"/>
    <w:rsid w:val="1D3C115C"/>
    <w:rsid w:val="1D5A5285"/>
    <w:rsid w:val="1EF73FE9"/>
    <w:rsid w:val="1F273801"/>
    <w:rsid w:val="1FAD6EEB"/>
    <w:rsid w:val="20001CCC"/>
    <w:rsid w:val="20CC5EA8"/>
    <w:rsid w:val="20F57F95"/>
    <w:rsid w:val="21C677DB"/>
    <w:rsid w:val="22B16EA9"/>
    <w:rsid w:val="22E9419F"/>
    <w:rsid w:val="240371BF"/>
    <w:rsid w:val="25B164AA"/>
    <w:rsid w:val="25C741E6"/>
    <w:rsid w:val="260C3ED1"/>
    <w:rsid w:val="262D061E"/>
    <w:rsid w:val="27842671"/>
    <w:rsid w:val="27984C52"/>
    <w:rsid w:val="28A30CD1"/>
    <w:rsid w:val="28B44E63"/>
    <w:rsid w:val="299E54CD"/>
    <w:rsid w:val="29BD1C38"/>
    <w:rsid w:val="29DE44BA"/>
    <w:rsid w:val="29FD04D3"/>
    <w:rsid w:val="2ABE7A3E"/>
    <w:rsid w:val="2C4A1C64"/>
    <w:rsid w:val="2CF33078"/>
    <w:rsid w:val="2EFA178C"/>
    <w:rsid w:val="30B46D73"/>
    <w:rsid w:val="30BB4F36"/>
    <w:rsid w:val="30EB000C"/>
    <w:rsid w:val="31306248"/>
    <w:rsid w:val="319F7F4E"/>
    <w:rsid w:val="31FA1738"/>
    <w:rsid w:val="32B26467"/>
    <w:rsid w:val="341D1D2B"/>
    <w:rsid w:val="37385F0F"/>
    <w:rsid w:val="37747C68"/>
    <w:rsid w:val="3860220B"/>
    <w:rsid w:val="391EE354"/>
    <w:rsid w:val="39AE70AB"/>
    <w:rsid w:val="3A291ECF"/>
    <w:rsid w:val="3AF7F441"/>
    <w:rsid w:val="3B235B7F"/>
    <w:rsid w:val="3C0C0783"/>
    <w:rsid w:val="3D7D8793"/>
    <w:rsid w:val="3DE5576E"/>
    <w:rsid w:val="3DEEDA33"/>
    <w:rsid w:val="3F795B0E"/>
    <w:rsid w:val="3F9F3A96"/>
    <w:rsid w:val="3FDF653F"/>
    <w:rsid w:val="40350D30"/>
    <w:rsid w:val="442D174D"/>
    <w:rsid w:val="45020C9C"/>
    <w:rsid w:val="45860D16"/>
    <w:rsid w:val="47206E93"/>
    <w:rsid w:val="478C3D24"/>
    <w:rsid w:val="48FD4AFD"/>
    <w:rsid w:val="493C27E9"/>
    <w:rsid w:val="496F39ED"/>
    <w:rsid w:val="49FF41D3"/>
    <w:rsid w:val="4A185DC8"/>
    <w:rsid w:val="4B853BCB"/>
    <w:rsid w:val="4BE068DB"/>
    <w:rsid w:val="4BF6002B"/>
    <w:rsid w:val="4C4D5EC7"/>
    <w:rsid w:val="4ECE2238"/>
    <w:rsid w:val="4EE70DF0"/>
    <w:rsid w:val="4F764653"/>
    <w:rsid w:val="503F28F9"/>
    <w:rsid w:val="51927ED9"/>
    <w:rsid w:val="51B40170"/>
    <w:rsid w:val="51DB4B86"/>
    <w:rsid w:val="52D47805"/>
    <w:rsid w:val="53D12AAE"/>
    <w:rsid w:val="55333C3E"/>
    <w:rsid w:val="57D8793A"/>
    <w:rsid w:val="59F9CE83"/>
    <w:rsid w:val="5BD9024E"/>
    <w:rsid w:val="5D7004C5"/>
    <w:rsid w:val="5DBECE0C"/>
    <w:rsid w:val="5DC952CE"/>
    <w:rsid w:val="5DFB98F3"/>
    <w:rsid w:val="5E2D210C"/>
    <w:rsid w:val="5ED409F8"/>
    <w:rsid w:val="5F7E7EB6"/>
    <w:rsid w:val="5FBDFAF4"/>
    <w:rsid w:val="600D7DEA"/>
    <w:rsid w:val="61520213"/>
    <w:rsid w:val="63A6638E"/>
    <w:rsid w:val="642974E5"/>
    <w:rsid w:val="645FC30F"/>
    <w:rsid w:val="64CA39A1"/>
    <w:rsid w:val="650E0CE2"/>
    <w:rsid w:val="655855BF"/>
    <w:rsid w:val="65637F03"/>
    <w:rsid w:val="658E6991"/>
    <w:rsid w:val="667827DF"/>
    <w:rsid w:val="66FA2222"/>
    <w:rsid w:val="68F60B17"/>
    <w:rsid w:val="69101515"/>
    <w:rsid w:val="69463975"/>
    <w:rsid w:val="69BE35CD"/>
    <w:rsid w:val="6C3A5BCA"/>
    <w:rsid w:val="6C4A05C8"/>
    <w:rsid w:val="6CCFDC9E"/>
    <w:rsid w:val="6D437317"/>
    <w:rsid w:val="6EBF4AEB"/>
    <w:rsid w:val="6FAF233E"/>
    <w:rsid w:val="703F7638"/>
    <w:rsid w:val="719D3058"/>
    <w:rsid w:val="71B65F34"/>
    <w:rsid w:val="72734D90"/>
    <w:rsid w:val="729F39F7"/>
    <w:rsid w:val="72F25C54"/>
    <w:rsid w:val="73701855"/>
    <w:rsid w:val="74B93B9B"/>
    <w:rsid w:val="74D45448"/>
    <w:rsid w:val="74ED172B"/>
    <w:rsid w:val="75DEF843"/>
    <w:rsid w:val="76FC0AAF"/>
    <w:rsid w:val="77BB2098"/>
    <w:rsid w:val="77FA5FB0"/>
    <w:rsid w:val="79E7B28D"/>
    <w:rsid w:val="7B7FBA1D"/>
    <w:rsid w:val="7BC10ED0"/>
    <w:rsid w:val="7C775BAB"/>
    <w:rsid w:val="7D2D533A"/>
    <w:rsid w:val="7D3F2433"/>
    <w:rsid w:val="7D492E18"/>
    <w:rsid w:val="7DE23E22"/>
    <w:rsid w:val="7DE3F6C0"/>
    <w:rsid w:val="7EBF6A3D"/>
    <w:rsid w:val="7EFE398F"/>
    <w:rsid w:val="7F7E7212"/>
    <w:rsid w:val="7F8F1C9C"/>
    <w:rsid w:val="7F9F20EE"/>
    <w:rsid w:val="7FEF3FEC"/>
    <w:rsid w:val="7FFE48C6"/>
    <w:rsid w:val="7FFF2B8C"/>
    <w:rsid w:val="7FFF42E6"/>
    <w:rsid w:val="7FFFD7B8"/>
    <w:rsid w:val="8FF3090A"/>
    <w:rsid w:val="97A73B9A"/>
    <w:rsid w:val="9D8FDE3B"/>
    <w:rsid w:val="9E3A10E2"/>
    <w:rsid w:val="A7EB2E31"/>
    <w:rsid w:val="BA4FE564"/>
    <w:rsid w:val="E9EFC092"/>
    <w:rsid w:val="EBBDECEF"/>
    <w:rsid w:val="F2E1F9D4"/>
    <w:rsid w:val="F7880819"/>
    <w:rsid w:val="F83B4D11"/>
    <w:rsid w:val="FDFBA7F9"/>
    <w:rsid w:val="FEC38131"/>
    <w:rsid w:val="FEEA72AF"/>
    <w:rsid w:val="FFB14861"/>
    <w:rsid w:val="FFD6A82C"/>
    <w:rsid w:val="FFFF3040"/>
    <w:rsid w:val="FFFF54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rPr>
      <w:rFonts w:eastAsia="仿宋_GB2312"/>
      <w:sz w:val="32"/>
      <w:szCs w:val="32"/>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cs="宋体"/>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next w:val="1"/>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正文 Cha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收支决算总计（万元）</a:t>
            </a:r>
            <a:endParaRPr altLang="zh-CN"/>
          </a:p>
        </c:rich>
      </c:tx>
      <c:layout/>
      <c:overlay val="false"/>
      <c:spPr>
        <a:noFill/>
        <a:ln>
          <a:noFill/>
        </a:ln>
        <a:effectLst/>
      </c:spPr>
    </c:title>
    <c:autoTitleDeleted val="false"/>
    <c:plotArea>
      <c:layout/>
      <c:barChart>
        <c:barDir val="col"/>
        <c:grouping val="stacked"/>
        <c:varyColors val="false"/>
        <c:ser>
          <c:idx val="0"/>
          <c:order val="0"/>
          <c:tx>
            <c:strRef>
              <c:f>Sheet1!$B$1</c:f>
              <c:strCache>
                <c:ptCount val="1"/>
                <c:pt idx="0">
                  <c:v>年收支决算总计</c:v>
                </c:pt>
              </c:strCache>
            </c:strRef>
          </c:tx>
          <c:spPr>
            <a:solidFill>
              <a:schemeClr val="accent1"/>
            </a:solidFill>
            <a:ln>
              <a:noFill/>
            </a:ln>
            <a:effectLst/>
          </c:spPr>
          <c:invertIfNegative val="false"/>
          <c:dLbls>
            <c:dLbl>
              <c:idx val="0"/>
              <c:layout/>
              <c:dLblPos val="ctr"/>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ctr"/>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2021年收支决算总计</c:v>
                </c:pt>
                <c:pt idx="1">
                  <c:v>2022年收支决算总计</c:v>
                </c:pt>
              </c:strCache>
            </c:strRef>
          </c:cat>
          <c:val>
            <c:numRef>
              <c:f>Sheet1!$B$2:$B$3</c:f>
              <c:numCache>
                <c:formatCode>General</c:formatCode>
                <c:ptCount val="2"/>
                <c:pt idx="0">
                  <c:v>1801.43</c:v>
                </c:pt>
                <c:pt idx="1">
                  <c:v>3494.21</c:v>
                </c:pt>
              </c:numCache>
            </c:numRef>
          </c:val>
        </c:ser>
        <c:ser>
          <c:idx val="1"/>
          <c:order val="1"/>
          <c:tx>
            <c:strRef>
              <c:f>Sheet1!#REF!</c:f>
              <c:strCache>
                <c:ptCount val="1"/>
                <c:pt idx="0">
                  <c:v/>
                </c:pt>
              </c:strCache>
            </c:strRef>
          </c:tx>
          <c:spPr>
            <a:solidFill>
              <a:schemeClr val="accent2"/>
            </a:solidFill>
            <a:ln>
              <a:noFill/>
            </a:ln>
            <a:effectLst/>
          </c:spPr>
          <c:invertIfNegative val="false"/>
          <c:dLbls>
            <c:delete val="true"/>
          </c:dLbls>
          <c:cat>
            <c:strRef>
              <c:f>Sheet1!$A$2:$A$3</c:f>
              <c:strCache>
                <c:ptCount val="2"/>
                <c:pt idx="0">
                  <c:v>2021年收支决算总计</c:v>
                </c:pt>
                <c:pt idx="1">
                  <c:v>2022年收支决算总计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2021年收支决算总计</c:v>
                </c:pt>
                <c:pt idx="1">
                  <c:v>2022年收支决算总计</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150"/>
        <c:overlap val="100"/>
        <c:axId val="349652844"/>
        <c:axId val="687170694"/>
      </c:barChart>
      <c:catAx>
        <c:axId val="34965284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87170694"/>
        <c:crosses val="autoZero"/>
        <c:auto val="true"/>
        <c:lblAlgn val="ctr"/>
        <c:lblOffset val="100"/>
        <c:noMultiLvlLbl val="false"/>
      </c:catAx>
      <c:valAx>
        <c:axId val="68717069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9652844"/>
        <c:crosses val="autoZero"/>
        <c:crossBetween val="between"/>
      </c:valAx>
      <c:spPr>
        <a:noFill/>
        <a:ln>
          <a:noFill/>
        </a:ln>
        <a:effectLst/>
      </c:spPr>
    </c:plotArea>
    <c:legend>
      <c:legendPos val="b"/>
      <c:legendEntry>
        <c:idx val="1"/>
        <c:delete val="true"/>
      </c:legendEntry>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年本年收入（万元）</a:t>
            </a:r>
          </a:p>
        </c:rich>
      </c:tx>
      <c:layout>
        <c:manualLayout>
          <c:xMode val="edge"/>
          <c:yMode val="edge"/>
          <c:x val="0.227090178897408"/>
          <c:y val="0.0087744954665106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2022年本年收入（万元）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manualLayout>
                  <c:x val="0.153340635268346"/>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1751.84</c:v>
                </c:pt>
                <c:pt idx="1" c:formatCode="#,##0.00">
                  <c:v>1742.37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17642298354466"/>
          <c:y val="0.90590979782270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manualLayout>
                  <c:x val="0.153340635268346"/>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1801.43</c:v>
                </c:pt>
                <c:pt idx="1" c:formatCode="#,##0.0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17642298354466"/>
          <c:y val="0.90590979782270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2022年本年支出（万元）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en-US"/>
                      <a:t>2103.27</a:t>
                    </a:r>
                    <a:endParaRPr altLang="en-US"/>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1390.94</c:v>
                </c:pt>
                <c:pt idx="1">
                  <c:v>2103.27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49495967741936"/>
          <c:y val="0.0139586823003908"/>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1"/>
              <c:layout>
                <c:manualLayout>
                  <c:x val="-0.00381315538608198"/>
                  <c:y val="0.0070210631895687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2021年收支决算总计</c:v>
                </c:pt>
                <c:pt idx="1">
                  <c:v>2022年收支决算总计</c:v>
                </c:pt>
              </c:strCache>
            </c:strRef>
          </c:cat>
          <c:val>
            <c:numRef>
              <c:f>Sheet1!$B$2:$B$3</c:f>
              <c:numCache>
                <c:formatCode>#,##0.00</c:formatCode>
                <c:ptCount val="2"/>
                <c:pt idx="0">
                  <c:v>1801.43</c:v>
                </c:pt>
                <c:pt idx="1">
                  <c:v>3494.21</c:v>
                </c:pt>
              </c:numCache>
            </c:numRef>
          </c:val>
        </c:ser>
        <c:dLbls>
          <c:showLegendKey val="false"/>
          <c:showVal val="true"/>
          <c:showCatName val="false"/>
          <c:showSerName val="false"/>
          <c:showPercent val="false"/>
          <c:showBubbleSize val="false"/>
        </c:dLbls>
        <c:gapWidth val="219"/>
        <c:overlap val="-27"/>
        <c:axId val="87074688"/>
        <c:axId val="90038656"/>
      </c:barChart>
      <c:catAx>
        <c:axId val="87074688"/>
        <c:scaling>
          <c:orientation val="minMax"/>
        </c:scaling>
        <c:delete val="false"/>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true"/>
        <c:lblAlgn val="ctr"/>
        <c:lblOffset val="100"/>
        <c:noMultiLvlLbl val="false"/>
      </c:catAx>
      <c:valAx>
        <c:axId val="90038656"/>
        <c:scaling>
          <c:orientation val="minMax"/>
        </c:scaling>
        <c:delete val="false"/>
        <c:axPos val="l"/>
        <c:majorGridlines>
          <c:spPr>
            <a:ln w="9525" cap="flat" cmpd="sng" algn="ctr">
              <a:solidFill>
                <a:schemeClr val="bg1">
                  <a:lumMod val="6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0998502306594571"/>
          <c:y val="0.00558347292015634"/>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2021年一般公共预算财政拨款支出</c:v>
                </c:pt>
                <c:pt idx="1">
                  <c:v>2022年一般公共预算财政拨款支出</c:v>
                </c:pt>
              </c:strCache>
            </c:strRef>
          </c:cat>
          <c:val>
            <c:numRef>
              <c:f>Sheet1!$B$2:$B$3</c:f>
              <c:numCache>
                <c:formatCode>#,##0.00</c:formatCode>
                <c:ptCount val="2"/>
                <c:pt idx="0">
                  <c:v>1801.43</c:v>
                </c:pt>
                <c:pt idx="1">
                  <c:v>1742.37</c:v>
                </c:pt>
              </c:numCache>
            </c:numRef>
          </c:val>
        </c:ser>
        <c:dLbls>
          <c:showLegendKey val="false"/>
          <c:showVal val="true"/>
          <c:showCatName val="false"/>
          <c:showSerName val="false"/>
          <c:showPercent val="false"/>
          <c:showBubbleSize val="false"/>
        </c:dLbls>
        <c:gapWidth val="219"/>
        <c:overlap val="-27"/>
        <c:axId val="87074688"/>
        <c:axId val="90038656"/>
      </c:barChart>
      <c:catAx>
        <c:axId val="87074688"/>
        <c:scaling>
          <c:orientation val="minMax"/>
        </c:scaling>
        <c:delete val="false"/>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true"/>
        <c:lblAlgn val="ctr"/>
        <c:lblOffset val="100"/>
        <c:noMultiLvlLbl val="false"/>
      </c:catAx>
      <c:valAx>
        <c:axId val="90038656"/>
        <c:scaling>
          <c:orientation val="minMax"/>
        </c:scaling>
        <c:delete val="false"/>
        <c:axPos val="l"/>
        <c:majorGridlines>
          <c:spPr>
            <a:ln w="9525" cap="flat" cmpd="sng" algn="ctr">
              <a:solidFill>
                <a:schemeClr val="bg1">
                  <a:lumMod val="6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explosion val="0"/>
            <c:spPr>
              <a:solidFill>
                <a:schemeClr val="accent3">
                  <a:lumMod val="60000"/>
                </a:schemeClr>
              </a:solidFill>
              <a:ln w="19050">
                <a:solidFill>
                  <a:schemeClr val="lt1"/>
                </a:solidFill>
              </a:ln>
              <a:effectLst/>
            </c:spPr>
          </c:dPt>
          <c:dLbls>
            <c:dLbl>
              <c:idx val="3"/>
              <c:layout>
                <c:manualLayout>
                  <c:x val="0.0277533663728985"/>
                  <c:y val="-9.06044581447282e-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586045291673"/>
                  <c:y val="0.018254244851621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216130473206495"/>
                  <c:y val="0.0037280151863070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173204496391436"/>
                  <c:y val="-0.008410852004065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交通运输</c:v>
                </c:pt>
                <c:pt idx="7">
                  <c:v>住房保障支出</c:v>
                </c:pt>
                <c:pt idx="8">
                  <c:v>灾害防治及应急管理支出</c:v>
                </c:pt>
              </c:strCache>
            </c:strRef>
          </c:cat>
          <c:val>
            <c:numRef>
              <c:f>Sheet1!$B$2:$B$10</c:f>
              <c:numCache>
                <c:formatCode>0.00%</c:formatCode>
                <c:ptCount val="9"/>
                <c:pt idx="0">
                  <c:v>0.3952</c:v>
                </c:pt>
                <c:pt idx="1">
                  <c:v>0.0052</c:v>
                </c:pt>
                <c:pt idx="2">
                  <c:v>0.0898</c:v>
                </c:pt>
                <c:pt idx="3">
                  <c:v>0.0309</c:v>
                </c:pt>
                <c:pt idx="4">
                  <c:v>0.0173</c:v>
                </c:pt>
                <c:pt idx="5">
                  <c:v>0.3558</c:v>
                </c:pt>
                <c:pt idx="6">
                  <c:v>0.058</c:v>
                </c:pt>
                <c:pt idx="7">
                  <c:v>0.0283</c:v>
                </c:pt>
                <c:pt idx="8">
                  <c:v>0.0195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716014234875445"/>
          <c:y val="0.292200421598832"/>
        </c:manualLayout>
      </c:layout>
      <c:overlay val="false"/>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Pages>
  <Words>32931</Words>
  <Characters>39202</Characters>
  <Lines>1</Lines>
  <Paragraphs>1</Paragraphs>
  <TotalTime>14</TotalTime>
  <ScaleCrop>false</ScaleCrop>
  <LinksUpToDate>false</LinksUpToDate>
  <CharactersWithSpaces>39327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2022-09-16T09:37:00Z</dcterms:created>
  <dc:creator>曹颖</dc:creator>
  <cp:lastModifiedBy>user</cp:lastModifiedBy>
  <cp:lastPrinted>2022-08-07T10:23:00Z</cp:lastPrinted>
  <dcterms:modified xsi:type="dcterms:W3CDTF">2025-01-14T10:47:25Z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