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77425"/>
      <w:bookmarkStart w:id="5" w:name="_Toc15396597"/>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广元经济技术开发区石龙街道办事处部门决算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outlineLvl w:val="0"/>
        <w:rPr>
          <w:rFonts w:ascii="方正小标宋简体" w:hAnsi="宋体" w:eastAsia="方正小标宋简体"/>
          <w:color w:val="000000"/>
          <w:sz w:val="32"/>
          <w:szCs w:val="32"/>
        </w:rPr>
      </w:pP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公开时间：2021年9月15日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w:t>
      </w:r>
      <w:r>
        <w:rPr>
          <w:rStyle w:val="15"/>
          <w:rFonts w:hint="eastAsia"/>
        </w:rPr>
        <w:t>20年度部门决算情况说明</w:t>
      </w:r>
      <w:r>
        <w:tab/>
      </w:r>
      <w:r>
        <w:rPr>
          <w:rFonts w:hint="eastAsia"/>
        </w:rPr>
        <w:t>9</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rPr>
        <w:t>1</w:t>
      </w:r>
      <w:r>
        <w:rPr>
          <w:rFonts w:hint="eastAsia"/>
        </w:rPr>
        <w:fldChar w:fldCharType="end"/>
      </w:r>
      <w:r>
        <w:rPr>
          <w:rFonts w:hint="eastAsia"/>
        </w:rPr>
        <w:t>7</w:t>
      </w:r>
    </w:p>
    <w:p>
      <w:pPr>
        <w:pStyle w:val="10"/>
        <w:rPr>
          <w:rFonts w:hint="eastAsia" w:eastAsia="仿宋"/>
          <w:lang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四部分附表</w:t>
      </w:r>
      <w:r>
        <w:tab/>
      </w:r>
      <w:r>
        <w:rPr>
          <w:rFonts w:hint="eastAsia"/>
        </w:rPr>
        <w:t>2</w:t>
      </w:r>
      <w:r>
        <w:rPr>
          <w:rFonts w:hint="eastAsia"/>
        </w:rPr>
        <w:fldChar w:fldCharType="end"/>
      </w:r>
      <w:r>
        <w:rPr>
          <w:rFonts w:hint="eastAsia"/>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（十一）</w:t>
      </w:r>
      <w:r>
        <w:rPr>
          <w:rFonts w:hint="eastAsia" w:ascii="仿宋" w:hAnsi="仿宋" w:eastAsia="仿宋"/>
          <w:sz w:val="28"/>
          <w:szCs w:val="28"/>
        </w:rPr>
        <w:t>、</w:t>
      </w:r>
      <w:r>
        <w:fldChar w:fldCharType="begin"/>
      </w:r>
      <w:r>
        <w:instrText xml:space="preserve"> HYPERLINK \l "_Toc15396628"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sz w:val="28"/>
          <w:szCs w:val="28"/>
          <w:lang w:val="en-US" w:eastAsia="zh-CN"/>
        </w:rPr>
      </w:pPr>
      <w:r>
        <w:rPr>
          <w:rFonts w:ascii="仿宋" w:hAnsi="仿宋" w:eastAsia="仿宋"/>
          <w:color w:val="000000"/>
          <w:sz w:val="24"/>
        </w:rPr>
        <w:fldChar w:fldCharType="end"/>
      </w:r>
      <w:r>
        <w:rPr>
          <w:rFonts w:hint="eastAsia" w:ascii="仿宋" w:hAnsi="仿宋" w:eastAsia="仿宋"/>
          <w:sz w:val="28"/>
          <w:szCs w:val="28"/>
          <w:lang w:val="en-US" w:eastAsia="zh-CN"/>
        </w:rPr>
        <w:t>（十二）</w:t>
      </w:r>
      <w:r>
        <w:rPr>
          <w:rFonts w:hint="eastAsia" w:ascii="仿宋" w:hAnsi="仿宋" w:eastAsia="仿宋"/>
          <w:sz w:val="28"/>
          <w:szCs w:val="28"/>
        </w:rPr>
        <w:t>、</w:t>
      </w:r>
      <w:r>
        <w:rPr>
          <w:rFonts w:hint="eastAsia" w:ascii="仿宋" w:hAnsi="仿宋" w:eastAsia="仿宋"/>
          <w:sz w:val="28"/>
          <w:szCs w:val="28"/>
          <w:lang w:eastAsia="zh-CN"/>
        </w:rPr>
        <w:t>政府性基金预算财政拨款“三公”经费明细表</w:t>
      </w:r>
      <w:r>
        <w:rPr>
          <w:rFonts w:ascii="仿宋" w:hAnsi="仿宋" w:eastAsia="仿宋"/>
          <w:sz w:val="28"/>
          <w:szCs w:val="28"/>
        </w:rPr>
        <w:tab/>
      </w:r>
      <w:r>
        <w:rPr>
          <w:rFonts w:hint="eastAsia" w:ascii="仿宋" w:hAnsi="仿宋" w:eastAsia="仿宋"/>
          <w:sz w:val="28"/>
          <w:szCs w:val="28"/>
          <w:lang w:val="en-US" w:eastAsia="zh-CN"/>
        </w:rPr>
        <w:t>24</w:t>
      </w:r>
    </w:p>
    <w:p>
      <w:pPr>
        <w:pStyle w:val="11"/>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(十三）</w:t>
      </w:r>
      <w:r>
        <w:rPr>
          <w:rFonts w:hint="eastAsia" w:ascii="仿宋" w:hAnsi="仿宋" w:eastAsia="仿宋"/>
          <w:sz w:val="28"/>
          <w:szCs w:val="28"/>
        </w:rPr>
        <w:t>、</w:t>
      </w:r>
      <w:r>
        <w:rPr>
          <w:rFonts w:hint="eastAsia" w:ascii="仿宋" w:hAnsi="仿宋" w:eastAsia="仿宋"/>
          <w:sz w:val="28"/>
          <w:szCs w:val="28"/>
          <w:lang w:eastAsia="zh-CN"/>
        </w:rPr>
        <w:t>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24</w:t>
      </w:r>
    </w:p>
    <w:p>
      <w:pPr>
        <w:pStyle w:val="11"/>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(十四）</w:t>
      </w:r>
      <w:r>
        <w:rPr>
          <w:rFonts w:hint="eastAsia" w:ascii="仿宋" w:hAnsi="仿宋" w:eastAsia="仿宋"/>
          <w:sz w:val="28"/>
          <w:szCs w:val="28"/>
        </w:rPr>
        <w:t>、</w:t>
      </w:r>
      <w:r>
        <w:rPr>
          <w:rFonts w:hint="eastAsia" w:ascii="仿宋" w:hAnsi="仿宋" w:eastAsia="仿宋"/>
          <w:sz w:val="28"/>
          <w:szCs w:val="28"/>
          <w:lang w:eastAsia="zh-CN"/>
        </w:rPr>
        <w:t>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24</w:t>
      </w:r>
    </w:p>
    <w:p>
      <w:pPr>
        <w:pStyle w:val="11"/>
        <w:rPr>
          <w:rFonts w:hint="eastAsia" w:ascii="仿宋" w:hAnsi="仿宋" w:eastAsia="仿宋"/>
          <w:sz w:val="28"/>
          <w:szCs w:val="28"/>
          <w:lang w:val="en-US" w:eastAsia="zh-CN"/>
        </w:rPr>
      </w:pPr>
    </w:p>
    <w:p>
      <w:pPr>
        <w:rPr>
          <w:rFonts w:ascii="仿宋" w:hAnsi="仿宋" w:eastAsia="仿宋"/>
          <w:color w:val="000000"/>
          <w:sz w:val="24"/>
        </w:rPr>
      </w:pPr>
    </w:p>
    <w:p>
      <w:pPr>
        <w:widowControl/>
        <w:jc w:val="left"/>
        <w:rPr>
          <w:rFonts w:ascii="黑体" w:hAnsi="黑体" w:eastAsia="黑体"/>
          <w:bCs/>
          <w:kern w:val="44"/>
          <w:sz w:val="44"/>
          <w:szCs w:val="44"/>
        </w:rPr>
      </w:pPr>
      <w:bookmarkStart w:id="12" w:name="_Toc15396599"/>
      <w:bookmarkStart w:id="13" w:name="_Toc15377196"/>
      <w:r>
        <w:rPr>
          <w:rFonts w:hint="eastAsia" w:ascii="仿宋" w:hAnsi="仿宋" w:eastAsia="仿宋"/>
          <w:sz w:val="28"/>
          <w:szCs w:val="28"/>
          <w:lang w:val="en-US" w:eastAsia="zh-CN"/>
        </w:rPr>
        <w:t>4</w:t>
      </w:r>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Lines="0" w:line="560" w:lineRule="exact"/>
        <w:ind w:firstLine="672" w:firstLineChars="210"/>
        <w:rPr>
          <w:rFonts w:ascii="仿宋" w:hAnsi="仿宋" w:eastAsia="仿宋" w:cs="楷体_GB2312"/>
          <w:color w:val="000000"/>
          <w:sz w:val="32"/>
          <w:szCs w:val="32"/>
        </w:rPr>
      </w:pPr>
      <w:r>
        <w:rPr>
          <w:rFonts w:hint="eastAsia" w:ascii="仿宋" w:hAnsi="仿宋" w:eastAsia="仿宋" w:cs="楷体_GB2312"/>
          <w:color w:val="000000"/>
          <w:sz w:val="32"/>
          <w:szCs w:val="32"/>
        </w:rPr>
        <w:t>（一）主要职能。</w:t>
      </w:r>
    </w:p>
    <w:p>
      <w:pPr>
        <w:pStyle w:val="5"/>
        <w:adjustRightInd w:val="0"/>
        <w:snapToGrid w:val="0"/>
        <w:spacing w:beforeLines="0" w:line="560" w:lineRule="exact"/>
        <w:ind w:firstLine="672" w:firstLineChars="210"/>
        <w:rPr>
          <w:rFonts w:ascii="仿宋" w:hAnsi="仿宋" w:eastAsia="仿宋"/>
          <w:color w:val="000000"/>
          <w:sz w:val="32"/>
          <w:szCs w:val="32"/>
        </w:rPr>
      </w:pPr>
      <w:r>
        <w:rPr>
          <w:rFonts w:hint="eastAsia" w:ascii="仿宋" w:hAnsi="仿宋" w:eastAsia="仿宋" w:cs="楷体_GB2312"/>
          <w:color w:val="000000"/>
          <w:sz w:val="32"/>
          <w:szCs w:val="32"/>
        </w:rPr>
        <w:t>主要职责为：负责辖区内党建、基层党组织建设、宣传、精准扶贫、农林畜牧、安全生产、信访维稳、项目建设、房屋征收与补偿、计划生育、民政、劳动就业、社会保障、环境保护等工作。</w:t>
      </w:r>
    </w:p>
    <w:p>
      <w:pPr>
        <w:pStyle w:val="5"/>
        <w:adjustRightInd w:val="0"/>
        <w:snapToGrid w:val="0"/>
        <w:spacing w:before="93" w:line="600" w:lineRule="exact"/>
        <w:ind w:firstLine="640" w:firstLineChars="200"/>
        <w:outlineLvl w:val="2"/>
        <w:rPr>
          <w:rFonts w:ascii="仿宋" w:hAnsi="仿宋" w:eastAsia="仿宋"/>
          <w:bCs/>
          <w:color w:val="000000"/>
          <w:sz w:val="32"/>
          <w:szCs w:val="32"/>
        </w:rPr>
      </w:pPr>
      <w:bookmarkStart w:id="16" w:name="_Toc15377199"/>
      <w:bookmarkStart w:id="17"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6"/>
      <w:bookmarkEnd w:id="17"/>
    </w:p>
    <w:p>
      <w:pPr>
        <w:spacing w:line="576" w:lineRule="exact"/>
        <w:ind w:firstLine="642" w:firstLineChars="200"/>
        <w:rPr>
          <w:rFonts w:ascii="仿宋" w:hAnsi="仿宋" w:eastAsia="仿宋" w:cs="仿宋_GB2312"/>
          <w:sz w:val="32"/>
          <w:szCs w:val="32"/>
        </w:rPr>
      </w:pPr>
      <w:bookmarkStart w:id="18" w:name="_Toc15377200"/>
      <w:bookmarkStart w:id="19" w:name="_Toc15396601"/>
      <w:r>
        <w:rPr>
          <w:rFonts w:hint="eastAsia" w:ascii="仿宋_GB2312" w:hAnsi="仿宋_GB2312" w:eastAsia="仿宋_GB2312" w:cs="仿宋_GB2312"/>
          <w:b/>
          <w:bCs/>
          <w:color w:val="000000"/>
          <w:sz w:val="32"/>
          <w:szCs w:val="32"/>
        </w:rPr>
        <w:t>一是常态推进疫情防控。</w:t>
      </w:r>
      <w:r>
        <w:rPr>
          <w:rFonts w:hint="eastAsia" w:ascii="仿宋" w:hAnsi="仿宋" w:eastAsia="仿宋" w:cs="仿宋_GB2312"/>
          <w:sz w:val="32"/>
          <w:szCs w:val="32"/>
        </w:rPr>
        <w:t>牢牢把握防控主动权，成立疫情防控应急指挥部，领导班子成员包片，干部联村(社区)，形成街道--村社--小组三级防控网。坚持防控信息日报告和肺炎疫情零报告。发放宣传资料1万余份，制作宣传标语45幅，党员群众自发捐款12.9122万元。前期对9个居民小区实行封闭式管理，体温检测21408人，检查车辆及消毒11618台。取消“红事白事宴席40起，计960桌10000余人。全年排查境外来广人员18人，境外返广人员10人，湖北来广人员19人，新疆返广人员64人，天津返广人员1人，均已做好医学观察、居家观察或登记管控，确保阵地不失守。</w:t>
      </w:r>
    </w:p>
    <w:p>
      <w:pPr>
        <w:spacing w:line="576" w:lineRule="exact"/>
        <w:ind w:firstLine="642" w:firstLineChars="200"/>
        <w:rPr>
          <w:rFonts w:ascii="仿宋" w:hAnsi="仿宋" w:eastAsia="仿宋" w:cs="仿宋"/>
          <w:bCs/>
          <w:color w:val="000000"/>
          <w:sz w:val="32"/>
          <w:szCs w:val="32"/>
        </w:rPr>
      </w:pPr>
      <w:r>
        <w:rPr>
          <w:rFonts w:hint="eastAsia" w:ascii="仿宋_GB2312" w:hAnsi="仿宋_GB2312" w:eastAsia="仿宋_GB2312" w:cs="仿宋_GB2312"/>
          <w:b/>
          <w:bCs/>
          <w:color w:val="000000"/>
          <w:sz w:val="32"/>
          <w:szCs w:val="32"/>
        </w:rPr>
        <w:t>二是扎实推进</w:t>
      </w:r>
      <w:r>
        <w:rPr>
          <w:rFonts w:hint="eastAsia" w:ascii="仿宋_GB2312" w:hAnsi="仿宋_GB2312" w:cs="仿宋_GB2312"/>
          <w:b/>
          <w:bCs/>
          <w:color w:val="000000"/>
          <w:sz w:val="32"/>
          <w:szCs w:val="32"/>
        </w:rPr>
        <w:t>复工复产</w:t>
      </w:r>
      <w:r>
        <w:rPr>
          <w:rFonts w:hint="eastAsia" w:ascii="仿宋_GB2312" w:hAnsi="仿宋_GB2312" w:eastAsia="仿宋_GB2312" w:cs="仿宋_GB2312"/>
          <w:b/>
          <w:bCs/>
          <w:color w:val="000000"/>
          <w:sz w:val="32"/>
          <w:szCs w:val="32"/>
        </w:rPr>
        <w:t>。</w:t>
      </w:r>
      <w:r>
        <w:rPr>
          <w:rFonts w:hint="eastAsia" w:ascii="仿宋" w:hAnsi="仿宋" w:eastAsia="仿宋" w:cs="仿宋_GB2312"/>
          <w:bCs/>
          <w:color w:val="000000"/>
          <w:sz w:val="32"/>
          <w:szCs w:val="32"/>
        </w:rPr>
        <w:t>白龙水厂开始向宝轮及下西片区试供水，届时将会与西湾水厂联网运行，日供水量可达6万立方米。白龙湖小分子水生产项目</w:t>
      </w:r>
      <w:r>
        <w:rPr>
          <w:rFonts w:hint="eastAsia" w:ascii="仿宋" w:hAnsi="仿宋" w:eastAsia="仿宋" w:cs="仿宋_GB2312"/>
          <w:bCs/>
          <w:color w:val="000000"/>
          <w:kern w:val="0"/>
          <w:sz w:val="32"/>
          <w:szCs w:val="32"/>
          <w:shd w:val="clear" w:color="auto" w:fill="FFFFFF"/>
        </w:rPr>
        <w:t>、玫瑰精油加工厂</w:t>
      </w:r>
      <w:r>
        <w:rPr>
          <w:rFonts w:hint="eastAsia" w:ascii="仿宋" w:hAnsi="仿宋" w:eastAsia="仿宋" w:cs="仿宋_GB2312"/>
          <w:bCs/>
          <w:color w:val="000000"/>
          <w:sz w:val="32"/>
          <w:szCs w:val="32"/>
        </w:rPr>
        <w:t>正式投产。</w:t>
      </w:r>
      <w:r>
        <w:rPr>
          <w:rFonts w:hint="eastAsia" w:ascii="仿宋" w:hAnsi="仿宋" w:eastAsia="仿宋" w:cs="仿宋_GB2312"/>
          <w:bCs/>
          <w:color w:val="000000"/>
          <w:kern w:val="0"/>
          <w:sz w:val="32"/>
          <w:szCs w:val="32"/>
          <w:shd w:val="clear" w:color="auto" w:fill="FFFFFF"/>
        </w:rPr>
        <w:t>坪</w:t>
      </w:r>
      <w:r>
        <w:rPr>
          <w:rFonts w:hint="eastAsia" w:ascii="仿宋" w:hAnsi="仿宋" w:eastAsia="仿宋" w:cs="仿宋"/>
          <w:bCs/>
          <w:color w:val="000000"/>
          <w:kern w:val="0"/>
          <w:sz w:val="32"/>
          <w:szCs w:val="32"/>
          <w:shd w:val="clear" w:color="auto" w:fill="FFFFFF"/>
        </w:rPr>
        <w:t>雾土地整理及配套基础设施建设项目完成投资1.756亿元，预计路基完成90%，综合管廊完成85%，挡土墙完成100%，线路埋设完成80%。该项目已完成</w:t>
      </w:r>
      <w:r>
        <w:rPr>
          <w:rFonts w:hint="eastAsia" w:ascii="仿宋" w:hAnsi="仿宋" w:eastAsia="仿宋" w:cs="仿宋"/>
          <w:bCs/>
          <w:color w:val="000000"/>
          <w:sz w:val="32"/>
          <w:szCs w:val="32"/>
        </w:rPr>
        <w:t>迁坟328座，</w:t>
      </w:r>
      <w:r>
        <w:rPr>
          <w:rFonts w:hint="eastAsia" w:ascii="仿宋" w:hAnsi="仿宋" w:eastAsia="仿宋" w:cs="仿宋"/>
          <w:bCs/>
          <w:color w:val="000000"/>
          <w:kern w:val="0"/>
          <w:sz w:val="32"/>
          <w:szCs w:val="32"/>
          <w:shd w:val="clear" w:color="auto" w:fill="FFFFFF"/>
        </w:rPr>
        <w:t>104名转非人员签订了安置协议书，项目安置补助款、房屋拆迁款、货币化安置款、线路迁改费、坟地搬迁等费用已支付900余万元。坪雾片区棚户区改造完成投资0.15亿元，预计全年完成投资0.5亿元。支付白龙水厂二期项目、吉奥宝玉石项目、205线项目、劳特巴赫项目和肖家场平（坟场）项目土地款1600余万元。大力开展项目“大比武”，做好了滨江路沿线电力线路迁改工程、白龙湖小分子水、宝玉石精深加工、坪雾限价商品房、摆宴坝大桥等建设项目的协调服务工作，确保辖区6个重点项目、4个基础设施项目如期推进。“双过半”完成固投资产投资14.47亿元，完成半年目标任务的105.3%，1-9月完成固定投资20.6282亿元，项目入库11个，完成率75%。预计全年申报项目17个，完成总投资25.57亿元。</w:t>
      </w:r>
    </w:p>
    <w:p>
      <w:pPr>
        <w:spacing w:line="576" w:lineRule="exact"/>
        <w:ind w:firstLine="642" w:firstLineChars="200"/>
        <w:rPr>
          <w:rFonts w:ascii="仿宋" w:hAnsi="仿宋" w:eastAsia="仿宋" w:cs="仿宋_GB2312"/>
          <w:color w:val="000000"/>
          <w:sz w:val="32"/>
          <w:szCs w:val="32"/>
        </w:rPr>
      </w:pPr>
      <w:r>
        <w:rPr>
          <w:rFonts w:hint="eastAsia" w:ascii="仿宋_GB2312" w:hAnsi="仿宋_GB2312" w:eastAsia="仿宋_GB2312" w:cs="仿宋_GB2312"/>
          <w:b/>
          <w:bCs/>
          <w:color w:val="000000"/>
          <w:sz w:val="32"/>
          <w:szCs w:val="32"/>
        </w:rPr>
        <w:t>三是稳步推进社会治理。</w:t>
      </w:r>
      <w:r>
        <w:rPr>
          <w:rFonts w:hint="eastAsia" w:ascii="仿宋" w:hAnsi="仿宋" w:eastAsia="仿宋" w:cs="仿宋_GB2312"/>
          <w:color w:val="000000"/>
          <w:sz w:val="32"/>
          <w:szCs w:val="32"/>
        </w:rPr>
        <w:t>签订了社会治安综合治理工作目标责任书、禁毒工作目标责任书、铁路护路联防工作目标责任书。受理上级来信来访交办件8件次，同比下降50%。接待来访群众30余次。</w:t>
      </w:r>
      <w:r>
        <w:rPr>
          <w:rFonts w:hint="eastAsia" w:ascii="仿宋" w:hAnsi="仿宋" w:eastAsia="仿宋" w:cs="仿宋"/>
          <w:color w:val="000000"/>
          <w:sz w:val="32"/>
          <w:szCs w:val="32"/>
        </w:rPr>
        <w:t>开展了在建项目、在建企业、道路交通、食品、消防等安全大排查20余次，下发整改通知13份，完成闭环管理13处。联合交警、派出所做好联合执法行动12次，完成交通劝导2000余次。制定了《村级建制调</w:t>
      </w:r>
      <w:r>
        <w:rPr>
          <w:rFonts w:hint="eastAsia" w:ascii="仿宋" w:hAnsi="仿宋" w:eastAsia="仿宋" w:cs="仿宋_GB2312"/>
          <w:color w:val="000000"/>
          <w:sz w:val="32"/>
          <w:szCs w:val="32"/>
        </w:rPr>
        <w:t>整改革实施方案》，严格按照规定程序及时间节点推进村级建制调整改革，建制村由5个调减为3个，社区由5个调减为4个，精减率达30%。省级安全社区顺利通过验收，并按照验收组要求完成了问题整改。</w:t>
      </w:r>
      <w:r>
        <w:rPr>
          <w:rFonts w:hint="eastAsia" w:ascii="仿宋" w:hAnsi="仿宋" w:eastAsia="仿宋" w:cs="仿宋_GB2312"/>
          <w:color w:val="000000"/>
          <w:sz w:val="32"/>
          <w:szCs w:val="32"/>
          <w:shd w:val="clear" w:color="auto" w:fill="FFFFFF"/>
        </w:rPr>
        <w:t>处理12345政务热线电话投诉件56件，办结56件，办结率、满意度均达100%。</w:t>
      </w:r>
      <w:r>
        <w:rPr>
          <w:rFonts w:hint="eastAsia" w:ascii="仿宋" w:hAnsi="仿宋" w:eastAsia="仿宋" w:cs="仿宋_GB2312"/>
          <w:color w:val="000000"/>
          <w:sz w:val="32"/>
          <w:szCs w:val="32"/>
        </w:rPr>
        <w:t>完成第七次人口普查2556户摸底上报。全国退役军人示范站创建工作有序推进。</w:t>
      </w:r>
    </w:p>
    <w:p>
      <w:pPr>
        <w:spacing w:line="576" w:lineRule="exact"/>
        <w:ind w:firstLine="642" w:firstLineChars="200"/>
        <w:rPr>
          <w:rFonts w:ascii="仿宋" w:hAnsi="仿宋" w:eastAsia="仿宋" w:cs="仿宋_GB2312"/>
          <w:color w:val="000000"/>
          <w:sz w:val="32"/>
          <w:szCs w:val="32"/>
          <w:shd w:val="clear" w:color="auto" w:fill="FFFFFF"/>
        </w:rPr>
      </w:pPr>
      <w:r>
        <w:rPr>
          <w:rFonts w:hint="eastAsia" w:ascii="仿宋_GB2312" w:hAnsi="仿宋_GB2312" w:eastAsia="仿宋_GB2312" w:cs="仿宋_GB2312"/>
          <w:b/>
          <w:bCs/>
          <w:color w:val="000000"/>
          <w:sz w:val="32"/>
          <w:szCs w:val="32"/>
        </w:rPr>
        <w:t>四是有序推进法治建设。</w:t>
      </w:r>
      <w:r>
        <w:rPr>
          <w:rFonts w:hint="eastAsia" w:ascii="仿宋" w:hAnsi="仿宋" w:eastAsia="仿宋" w:cs="仿宋_GB2312"/>
          <w:color w:val="000000"/>
          <w:sz w:val="32"/>
          <w:szCs w:val="32"/>
          <w:shd w:val="clear" w:color="auto" w:fill="FFFFFF"/>
        </w:rPr>
        <w:t>开展了</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shd w:val="clear" w:color="auto" w:fill="FFFFFF"/>
        </w:rPr>
        <w:t>三无村居</w:t>
      </w:r>
      <w:r>
        <w:rPr>
          <w:rFonts w:hint="eastAsia" w:ascii="仿宋" w:hAnsi="仿宋" w:eastAsia="仿宋" w:cs="仿宋_GB2312"/>
          <w:color w:val="000000"/>
          <w:sz w:val="32"/>
          <w:szCs w:val="32"/>
        </w:rPr>
        <w:t>”“社区管家”</w:t>
      </w:r>
      <w:r>
        <w:rPr>
          <w:rFonts w:hint="eastAsia" w:ascii="仿宋" w:hAnsi="仿宋" w:eastAsia="仿宋" w:cs="仿宋_GB2312"/>
          <w:color w:val="000000"/>
          <w:sz w:val="32"/>
          <w:szCs w:val="32"/>
          <w:shd w:val="clear" w:color="auto" w:fill="FFFFFF"/>
        </w:rPr>
        <w:t>创建活动，改造了1个社区阵地，提高了“法治教育示范基地”、法治文化广场、法治文化长廊品质。开展法治宣讲活动32场，解答群众法律咨询200余条。定期为群众提供法律服务。深入开展“扫黑除恶”专项行动，年初与10个村（社区）签订了扫黑除恶责任书，发放扫黑除恶宣传资料8000余份。充分发挥村居人民调解员作用，调解各类矛盾纠纷100多件，调解劳动人事纠纷20多件，切实将矛盾纠纷化解在萌芽阶段。</w:t>
      </w:r>
      <w:r>
        <w:rPr>
          <w:rFonts w:hint="eastAsia" w:ascii="仿宋" w:hAnsi="仿宋" w:eastAsia="仿宋" w:cs="仿宋_GB2312"/>
          <w:color w:val="000000"/>
          <w:sz w:val="32"/>
          <w:szCs w:val="32"/>
        </w:rPr>
        <w:t>邹志勤获2019年度全省调解能手称号。省</w:t>
      </w:r>
      <w:r>
        <w:rPr>
          <w:rFonts w:hint="eastAsia" w:ascii="仿宋" w:hAnsi="仿宋" w:eastAsia="仿宋" w:cs="仿宋"/>
          <w:color w:val="000000"/>
          <w:sz w:val="32"/>
          <w:szCs w:val="32"/>
        </w:rPr>
        <w:t>司法厅党委书记、厅长刘志诚一行莅临双龙社区调研指导基层法治工作</w:t>
      </w:r>
      <w:r>
        <w:rPr>
          <w:rFonts w:hint="eastAsia" w:ascii="仿宋" w:hAnsi="仿宋" w:eastAsia="仿宋" w:cs="仿宋"/>
          <w:color w:val="000000"/>
          <w:sz w:val="32"/>
          <w:szCs w:val="32"/>
          <w:shd w:val="clear" w:color="auto" w:fill="FFFFFF"/>
        </w:rPr>
        <w:t>并给予充分肯定。他指出，双龙社区法治建设有特点、有亮点、有品位、有</w:t>
      </w:r>
      <w:r>
        <w:rPr>
          <w:rFonts w:hint="eastAsia" w:ascii="仿宋" w:hAnsi="仿宋" w:eastAsia="仿宋" w:cs="仿宋_GB2312"/>
          <w:color w:val="000000"/>
          <w:sz w:val="32"/>
          <w:szCs w:val="32"/>
          <w:shd w:val="clear" w:color="auto" w:fill="FFFFFF"/>
        </w:rPr>
        <w:t>文化，值得推广。</w:t>
      </w:r>
    </w:p>
    <w:p>
      <w:pPr>
        <w:spacing w:line="576" w:lineRule="exact"/>
        <w:ind w:firstLine="642" w:firstLineChars="200"/>
        <w:rPr>
          <w:rFonts w:ascii="仿宋" w:hAnsi="仿宋" w:eastAsia="仿宋" w:cs="仿宋_GB2312"/>
          <w:bCs/>
          <w:color w:val="000000"/>
          <w:sz w:val="32"/>
          <w:szCs w:val="32"/>
        </w:rPr>
      </w:pPr>
      <w:r>
        <w:rPr>
          <w:rFonts w:hint="eastAsia" w:ascii="仿宋_GB2312" w:hAnsi="仿宋_GB2312" w:eastAsia="仿宋_GB2312" w:cs="仿宋_GB2312"/>
          <w:b/>
          <w:bCs/>
          <w:color w:val="000000"/>
          <w:sz w:val="32"/>
          <w:szCs w:val="32"/>
        </w:rPr>
        <w:t>五是巩固推进脱贫攻坚</w:t>
      </w:r>
      <w:r>
        <w:rPr>
          <w:rFonts w:hint="eastAsia" w:ascii="仿宋_GB2312" w:hAnsi="仿宋_GB2312" w:eastAsia="仿宋_GB2312" w:cs="仿宋_GB2312"/>
          <w:color w:val="000000"/>
          <w:sz w:val="32"/>
          <w:szCs w:val="32"/>
        </w:rPr>
        <w:t>。</w:t>
      </w:r>
      <w:r>
        <w:rPr>
          <w:rFonts w:hint="eastAsia" w:ascii="仿宋" w:hAnsi="仿宋" w:eastAsia="仿宋" w:cs="仿宋_GB2312"/>
          <w:bCs/>
          <w:color w:val="000000"/>
          <w:sz w:val="32"/>
          <w:szCs w:val="32"/>
        </w:rPr>
        <w:t>严格脱贫摘帽“四个不摘”要求，持续开展脱贫攻坚“大比武”，巩固提升135户440人的脱贫成果。</w:t>
      </w:r>
      <w:r>
        <w:rPr>
          <w:rFonts w:hint="eastAsia" w:ascii="仿宋" w:hAnsi="仿宋" w:eastAsia="仿宋" w:cs="仿宋_GB2312"/>
          <w:bCs/>
          <w:color w:val="000000"/>
          <w:sz w:val="32"/>
          <w:szCs w:val="32"/>
          <w:shd w:val="clear" w:color="auto" w:fill="FFFFFF"/>
        </w:rPr>
        <w:t>规划上报扶贫项目21个，其中到户项目11个，到村组集体项目10个。争取中央、省、市、区资金216.68万元，全面梳理五年来扶贫项目资产326个，扶贫专项资金781.4501万元。清零了区脱贫攻坚领导小组反馈的69个问题</w:t>
      </w:r>
      <w:r>
        <w:rPr>
          <w:rFonts w:hint="eastAsia" w:ascii="仿宋" w:hAnsi="仿宋" w:eastAsia="仿宋" w:cs="仿宋_GB2312"/>
          <w:bCs/>
          <w:color w:val="000000"/>
          <w:sz w:val="32"/>
          <w:szCs w:val="32"/>
        </w:rPr>
        <w:t>。培育储备村级后备力量10个，遴选培养“领头羊”、乡村振兴“精英”2个，培育新型职业农民5个，扶持发展村集体经济1个。</w:t>
      </w:r>
      <w:r>
        <w:rPr>
          <w:rFonts w:hint="eastAsia" w:ascii="仿宋" w:hAnsi="仿宋" w:eastAsia="仿宋" w:cs="仿宋_GB2312"/>
          <w:bCs/>
          <w:color w:val="000000"/>
          <w:sz w:val="32"/>
          <w:szCs w:val="32"/>
          <w:shd w:val="clear" w:color="auto" w:fill="FFFFFF"/>
        </w:rPr>
        <w:t>石龙村获“广元市乡村振兴示范村”称号，并申报“全省乡村振兴示范村”。市百佳脱贫示范户胡基志的事迹被收入市作协《折翼飞翔》一书公开发行。</w:t>
      </w:r>
      <w:r>
        <w:rPr>
          <w:rFonts w:hint="eastAsia" w:ascii="仿宋" w:hAnsi="仿宋" w:eastAsia="仿宋" w:cs="仿宋_GB2312"/>
          <w:bCs/>
          <w:color w:val="000000"/>
          <w:sz w:val="32"/>
          <w:szCs w:val="32"/>
        </w:rPr>
        <w:t>《李二娃脱贫》《脱贫奔康迈步子》获全市知客大赛优秀奖。王海春获20</w:t>
      </w:r>
      <w:r>
        <w:rPr>
          <w:rFonts w:hint="eastAsia" w:ascii="仿宋" w:hAnsi="仿宋" w:eastAsia="仿宋" w:cs="仿宋"/>
          <w:bCs/>
          <w:color w:val="000000"/>
          <w:sz w:val="32"/>
          <w:szCs w:val="32"/>
        </w:rPr>
        <w:t>19年四川省“五个一”帮扶先进第一书记。</w:t>
      </w:r>
    </w:p>
    <w:p>
      <w:pPr>
        <w:spacing w:line="576" w:lineRule="exact"/>
        <w:ind w:firstLine="642" w:firstLineChars="200"/>
        <w:rPr>
          <w:rFonts w:ascii="仿宋" w:hAnsi="仿宋" w:eastAsia="仿宋" w:cs="仿宋"/>
          <w:bCs/>
          <w:color w:val="000000"/>
          <w:sz w:val="32"/>
          <w:szCs w:val="32"/>
        </w:rPr>
      </w:pPr>
      <w:r>
        <w:rPr>
          <w:rFonts w:hint="eastAsia" w:ascii="仿宋_GB2312" w:hAnsi="仿宋_GB2312" w:eastAsia="仿宋_GB2312" w:cs="仿宋_GB2312"/>
          <w:b/>
          <w:color w:val="000000"/>
          <w:sz w:val="32"/>
          <w:szCs w:val="32"/>
        </w:rPr>
        <w:t>六是持续推进环境治理。</w:t>
      </w:r>
      <w:r>
        <w:rPr>
          <w:rFonts w:hint="eastAsia" w:ascii="仿宋" w:hAnsi="仿宋" w:eastAsia="仿宋" w:cs="仿宋"/>
          <w:bCs/>
          <w:color w:val="000000"/>
          <w:sz w:val="32"/>
          <w:szCs w:val="32"/>
        </w:rPr>
        <w:t>严格落实生态环保党政责任清单，切实实施环境工作网格化管理，有序开展“河长制”工作，做到环保工作责任明，督查细，考核严，处罚快。全年开展环保巡查60余次，拆除违法广告50余处，辖区19家企业中已落实16家企业完成排污许可证登记工作，完成辖区卓远商混、凤凰驾校、劳特巴赫等企业的污水收集入网工作。对3名环保问题责任人依法予以及时处理。</w:t>
      </w:r>
    </w:p>
    <w:p>
      <w:pPr>
        <w:spacing w:line="576" w:lineRule="exact"/>
        <w:ind w:firstLine="642" w:firstLineChars="200"/>
        <w:rPr>
          <w:rFonts w:ascii="仿宋" w:hAnsi="仿宋" w:eastAsia="仿宋" w:cs="仿宋"/>
          <w:color w:val="000000"/>
          <w:sz w:val="32"/>
          <w:szCs w:val="32"/>
        </w:rPr>
      </w:pPr>
      <w:r>
        <w:rPr>
          <w:rFonts w:hint="eastAsia" w:ascii="仿宋_GB2312" w:hAnsi="仿宋_GB2312" w:cs="仿宋_GB2312"/>
          <w:b/>
          <w:bCs/>
          <w:color w:val="000000"/>
          <w:sz w:val="32"/>
          <w:szCs w:val="32"/>
        </w:rPr>
        <w:t>七是</w:t>
      </w:r>
      <w:r>
        <w:rPr>
          <w:rFonts w:hint="eastAsia" w:ascii="仿宋_GB2312" w:hAnsi="仿宋_GB2312" w:eastAsia="仿宋_GB2312" w:cs="仿宋_GB2312"/>
          <w:b/>
          <w:bCs/>
          <w:color w:val="000000"/>
          <w:sz w:val="32"/>
          <w:szCs w:val="32"/>
        </w:rPr>
        <w:t>创新推进基层党建。</w:t>
      </w:r>
      <w:r>
        <w:rPr>
          <w:rFonts w:hint="eastAsia" w:ascii="仿宋" w:hAnsi="仿宋" w:eastAsia="仿宋" w:cs="仿宋_GB2312"/>
          <w:color w:val="000000"/>
          <w:sz w:val="32"/>
          <w:szCs w:val="32"/>
        </w:rPr>
        <w:t>大力开展党建五大行动，即党建领航行动、党建聚力行动、党建铸魂行动、党建强基行动、党建融合行动，推动主题教育常态化、长效化、制度化。制发了党建工作任务指导书、三张责任清单、意识形态责任制。</w:t>
      </w:r>
      <w:r>
        <w:rPr>
          <w:rFonts w:hint="eastAsia" w:ascii="仿宋" w:hAnsi="仿宋" w:eastAsia="仿宋" w:cs="仿宋_GB2312"/>
          <w:color w:val="000000"/>
          <w:sz w:val="32"/>
          <w:szCs w:val="32"/>
          <w:shd w:val="clear" w:color="auto" w:fill="FFFFFF"/>
        </w:rPr>
        <w:t>表彰了35名优秀共产党员、5名优秀党组织书记、8名优秀党务工作者和4个优秀基层党组织。发展新党员10名，培训村社区两委干部60余人。</w:t>
      </w:r>
      <w:r>
        <w:rPr>
          <w:rFonts w:hint="eastAsia" w:ascii="仿宋" w:hAnsi="仿宋" w:eastAsia="仿宋" w:cs="仿宋_GB2312"/>
          <w:color w:val="000000"/>
          <w:sz w:val="32"/>
          <w:szCs w:val="32"/>
        </w:rPr>
        <w:t>肖家村级阵地标准化规范化建设经验在全区交流，党员王玲玲获“广元市三八红旗手”称号。</w:t>
      </w:r>
      <w:r>
        <w:rPr>
          <w:rFonts w:hint="eastAsia" w:ascii="仿宋" w:hAnsi="仿宋" w:eastAsia="仿宋" w:cs="仿宋_GB2312"/>
          <w:color w:val="000000"/>
          <w:sz w:val="32"/>
          <w:szCs w:val="32"/>
          <w:shd w:val="clear" w:color="auto" w:fill="FFFFFF"/>
        </w:rPr>
        <w:t>组织党员干部60余人次参观剑阁廉政教育基地，发放警示教育读本500余册。查处问题线索10起，其中立案3起，开除党籍1人，党内警告处分2人，通报批评1人，回复信访件4起。</w:t>
      </w:r>
      <w:r>
        <w:rPr>
          <w:rFonts w:hint="eastAsia" w:ascii="仿宋" w:hAnsi="仿宋" w:eastAsia="仿宋" w:cs="仿宋_GB2312"/>
          <w:color w:val="000000"/>
          <w:sz w:val="32"/>
          <w:szCs w:val="32"/>
        </w:rPr>
        <w:t>宣传报道再创新高，</w:t>
      </w:r>
      <w:r>
        <w:rPr>
          <w:rFonts w:hint="eastAsia" w:ascii="仿宋" w:hAnsi="仿宋" w:eastAsia="仿宋" w:cs="仿宋"/>
          <w:color w:val="000000"/>
          <w:sz w:val="32"/>
          <w:szCs w:val="32"/>
        </w:rPr>
        <w:t>区网站采用170篇，《强</w:t>
      </w:r>
      <w:r>
        <w:rPr>
          <w:rFonts w:hint="eastAsia" w:ascii="仿宋" w:hAnsi="仿宋" w:eastAsia="仿宋" w:cs="仿宋_GB2312"/>
          <w:color w:val="000000"/>
          <w:sz w:val="32"/>
          <w:szCs w:val="32"/>
        </w:rPr>
        <w:t>国论坛》采用3篇，市政府官网采用1篇，区《每</w:t>
      </w:r>
      <w:r>
        <w:rPr>
          <w:rFonts w:hint="eastAsia" w:ascii="仿宋" w:hAnsi="仿宋" w:eastAsia="仿宋" w:cs="仿宋"/>
          <w:color w:val="000000"/>
          <w:sz w:val="32"/>
          <w:szCs w:val="32"/>
        </w:rPr>
        <w:t>周要情》采用12篇，《广元日报》《广元人民广播电台》采用18篇，《学习强国》先后采用3篇。</w:t>
      </w:r>
    </w:p>
    <w:p>
      <w:pPr>
        <w:pStyle w:val="3"/>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pPr>
        <w:spacing w:line="560" w:lineRule="exact"/>
        <w:ind w:firstLine="640"/>
        <w:rPr>
          <w:rFonts w:ascii="仿宋" w:hAnsi="仿宋" w:eastAsia="仿宋" w:cs="微软雅黑"/>
          <w:color w:val="333333"/>
          <w:sz w:val="32"/>
          <w:szCs w:val="32"/>
          <w:shd w:val="clear" w:color="auto" w:fill="FFFFFF"/>
        </w:rPr>
      </w:pPr>
      <w:r>
        <w:rPr>
          <w:rFonts w:hint="eastAsia" w:ascii="仿宋" w:hAnsi="仿宋" w:eastAsia="仿宋" w:cs="仿宋_GB2312"/>
          <w:color w:val="333333"/>
          <w:sz w:val="32"/>
          <w:szCs w:val="32"/>
          <w:shd w:val="clear" w:color="auto" w:fill="FFFFFF"/>
        </w:rPr>
        <w:t>石龙街道办事处地处嘉陵江、白龙江、清水河三江交汇处，隶属广元经济技术开发区。街道辖3村4社区（肖家村、石龙村、摆宴村、双龙社区、白龙社区、石门社区、坪雾社区），面积22平方公里，人口1.2万余人。</w:t>
      </w:r>
      <w:r>
        <w:rPr>
          <w:rFonts w:hint="eastAsia" w:ascii="仿宋" w:hAnsi="仿宋" w:eastAsia="仿宋" w:cs="仿宋_GB2312"/>
          <w:sz w:val="32"/>
          <w:szCs w:val="32"/>
        </w:rPr>
        <w:t>实际财政供养总人数27人，其中：在职正式干部11名，聘用干部16名。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4"/>
          <w:rFonts w:hint="eastAsia" w:ascii="黑体" w:hAnsi="黑体" w:eastAsia="黑体"/>
          <w:b w:val="0"/>
          <w:bCs w:val="0"/>
        </w:rPr>
        <w:t>2020年度部门决算情况说明</w:t>
      </w:r>
      <w:bookmarkEnd w:id="20"/>
      <w:bookmarkEnd w:id="21"/>
    </w:p>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2020年度收入总计854.39万元。与2019年相比，收、支总计各减少90.21万元，</w:t>
      </w:r>
      <w:r>
        <w:rPr>
          <w:rFonts w:hint="eastAsia" w:ascii="仿宋" w:hAnsi="仿宋" w:eastAsia="仿宋"/>
          <w:sz w:val="32"/>
          <w:szCs w:val="32"/>
        </w:rPr>
        <w:t>减少9.56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主要变动原因运行经费降低、民生项目减少</w:t>
      </w:r>
      <w:r>
        <w:rPr>
          <w:rFonts w:hint="eastAsia" w:ascii="仿宋" w:hAnsi="仿宋" w:eastAsia="仿宋"/>
          <w:color w:val="000000" w:themeColor="text1"/>
          <w:sz w:val="32"/>
          <w:szCs w:val="32"/>
        </w:rPr>
        <w:t>。</w:t>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2020年度支总计856.39万元。与2019年相比，收、支总计各减少88.21万元，</w:t>
      </w:r>
      <w:r>
        <w:rPr>
          <w:rFonts w:hint="eastAsia" w:ascii="仿宋" w:hAnsi="仿宋" w:eastAsia="仿宋"/>
          <w:sz w:val="32"/>
          <w:szCs w:val="32"/>
        </w:rPr>
        <w:t>减少8.95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主要变动原因运行经费降低、民生项目减少</w:t>
      </w:r>
      <w:r>
        <w:rPr>
          <w:rFonts w:hint="eastAsia" w:ascii="仿宋" w:hAnsi="仿宋" w:eastAsia="仿宋"/>
          <w:color w:val="000000" w:themeColor="text1"/>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20年本年收入合计854.39万元，其中：一般公共预算财政拨款收入854.39万元，占100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w:t>
      </w:r>
      <w:r>
        <w:rPr>
          <w:rFonts w:hint="eastAsia" w:ascii="仿宋" w:hAnsi="仿宋" w:eastAsia="仿宋"/>
          <w:color w:val="000000"/>
          <w:sz w:val="32"/>
          <w:szCs w:val="32"/>
        </w:rPr>
        <w:t>20年本年支出合计856.39万元，其中：基本支出356.80万元，占41</w:t>
      </w:r>
      <w:r>
        <w:rPr>
          <w:rFonts w:ascii="仿宋" w:hAnsi="仿宋" w:eastAsia="仿宋"/>
          <w:color w:val="000000"/>
          <w:sz w:val="32"/>
          <w:szCs w:val="32"/>
        </w:rPr>
        <w:t>%</w:t>
      </w:r>
      <w:r>
        <w:rPr>
          <w:rFonts w:hint="eastAsia" w:ascii="仿宋" w:hAnsi="仿宋" w:eastAsia="仿宋"/>
          <w:color w:val="000000"/>
          <w:sz w:val="32"/>
          <w:szCs w:val="32"/>
        </w:rPr>
        <w:t>；项目支出499.59万元，占59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2020年度收入总计854.39万元。与2019年相比，收、支总计各减少90.21万元，</w:t>
      </w:r>
      <w:r>
        <w:rPr>
          <w:rFonts w:hint="eastAsia" w:ascii="仿宋" w:hAnsi="仿宋" w:eastAsia="仿宋"/>
          <w:sz w:val="32"/>
          <w:szCs w:val="32"/>
        </w:rPr>
        <w:t>减少9.56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主要变动原因运行经费降低、民生项目减少</w:t>
      </w:r>
      <w:r>
        <w:rPr>
          <w:rFonts w:hint="eastAsia" w:ascii="仿宋" w:hAnsi="仿宋" w:eastAsia="仿宋"/>
          <w:color w:val="000000" w:themeColor="text1"/>
          <w:sz w:val="32"/>
          <w:szCs w:val="32"/>
        </w:rPr>
        <w:t>。</w:t>
      </w: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20年一般公共预算财政拨款支出856.39万元，占本年支出合计的100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19年相比，一般公共预算财政拨款减少88.21万元。</w:t>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856.39</w:t>
      </w:r>
      <w:r>
        <w:rPr>
          <w:rFonts w:hint="eastAsia" w:ascii="仿宋" w:hAnsi="仿宋" w:eastAsia="仿宋"/>
          <w:color w:val="000000" w:themeColor="text1"/>
          <w:sz w:val="32"/>
          <w:szCs w:val="32"/>
        </w:rPr>
        <w:t>万元，</w:t>
      </w:r>
      <w:r>
        <w:rPr>
          <w:rFonts w:hint="eastAsia" w:ascii="仿宋" w:hAnsi="仿宋" w:eastAsia="仿宋" w:cs="仿宋_GB2312"/>
          <w:color w:val="000000"/>
          <w:sz w:val="32"/>
          <w:szCs w:val="32"/>
        </w:rPr>
        <w:t>主要用于以下方面:一般公共服务支出361.18万元，占42.17%；公共安全支出5万元，占0.58%；社会保障和就业支出31.25万元，占3.64%；卫生健康支出16.58万元，占1.93%；城区社区支出11.7万元，占1.36%；农林水支出343.88万元，占40.15%；交通运输21万元，占2.45%；住房保障支出26.43万元，占3.08%；灾害防治及应急管理支出39.36，占4.59%。　　　　　　　　</w:t>
      </w:r>
    </w:p>
    <w:p>
      <w:pPr>
        <w:spacing w:line="600" w:lineRule="exact"/>
        <w:ind w:firstLine="642"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2" w:firstLineChars="200"/>
        <w:outlineLvl w:val="2"/>
        <w:rPr>
          <w:rStyle w:val="14"/>
          <w:rFonts w:ascii="仿宋" w:hAnsi="仿宋" w:eastAsia="仿宋"/>
          <w:bCs/>
          <w:color w:val="00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rPr>
        <w:t>2020年一般公共预算支出决算数为</w:t>
      </w:r>
      <w:r>
        <w:rPr>
          <w:rFonts w:hint="eastAsia" w:ascii="仿宋" w:hAnsi="仿宋" w:eastAsia="仿宋"/>
          <w:color w:val="000000"/>
          <w:sz w:val="32"/>
          <w:szCs w:val="32"/>
        </w:rPr>
        <w:t>856.39</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widowControl/>
        <w:jc w:val="left"/>
        <w:rPr>
          <w:rStyle w:val="14"/>
          <w:rFonts w:ascii="仿宋" w:hAnsi="仿宋" w:eastAsia="仿宋"/>
          <w:bCs/>
          <w:color w:val="000000"/>
          <w:sz w:val="32"/>
          <w:szCs w:val="32"/>
        </w:rPr>
      </w:pPr>
      <w:r>
        <w:rPr>
          <w:rFonts w:hint="eastAsia" w:ascii="楷体_GB2312" w:hAnsi="楷体_GB2312" w:eastAsia="楷体_GB2312" w:cs="楷体_GB2312"/>
          <w:color w:val="000000"/>
          <w:sz w:val="32"/>
          <w:szCs w:val="32"/>
        </w:rPr>
        <w:t xml:space="preserve">  1.一般公共服务支出（类）201，支出决算为287.86万元，完成预算</w:t>
      </w:r>
      <w:r>
        <w:rPr>
          <w:rStyle w:val="14"/>
          <w:rFonts w:hint="eastAsia" w:ascii="仿宋_GB2312" w:eastAsia="仿宋_GB2312"/>
          <w:b w:val="0"/>
          <w:color w:val="000000"/>
          <w:sz w:val="32"/>
          <w:szCs w:val="32"/>
        </w:rPr>
        <w:t>100%，其中：</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（1）一般公共服务支出（类）201政府办公厅（室）及相关机构事务（款）03行政运行（项）01</w:t>
      </w:r>
      <w:r>
        <w:rPr>
          <w:rStyle w:val="14"/>
          <w:rFonts w:hint="eastAsia" w:ascii="仿宋_GB2312" w:eastAsia="仿宋_GB2312"/>
          <w:b w:val="0"/>
          <w:color w:val="000000"/>
          <w:sz w:val="32"/>
          <w:szCs w:val="32"/>
        </w:rPr>
        <w:t>:支出决算为224.35万元，完成预算100%。</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（2）一般公共服务支出（类）201政府办公厅（室）及相关机构事务（款）03一般行政管理事务（项）02</w:t>
      </w:r>
      <w:r>
        <w:rPr>
          <w:rStyle w:val="14"/>
          <w:rFonts w:hint="eastAsia" w:ascii="仿宋_GB2312" w:eastAsia="仿宋_GB2312"/>
          <w:b w:val="0"/>
          <w:color w:val="000000"/>
          <w:sz w:val="32"/>
          <w:szCs w:val="32"/>
        </w:rPr>
        <w:t>:支出决算为20.14万元，完成预算100%。</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（3）一般公共服务支出（类）201政府办公厅（室）及相关机构事务（款）03</w:t>
      </w:r>
      <w:r>
        <w:rPr>
          <w:rFonts w:hint="eastAsia" w:ascii="仿宋_GB2312" w:eastAsia="仿宋_GB2312"/>
          <w:color w:val="000000"/>
          <w:sz w:val="32"/>
          <w:szCs w:val="32"/>
        </w:rPr>
        <w:t>专项业务活动（项）05</w:t>
      </w:r>
      <w:r>
        <w:rPr>
          <w:rStyle w:val="14"/>
          <w:rFonts w:hint="eastAsia" w:ascii="仿宋_GB2312" w:eastAsia="仿宋_GB2312"/>
          <w:b w:val="0"/>
          <w:color w:val="000000"/>
          <w:sz w:val="32"/>
          <w:szCs w:val="32"/>
        </w:rPr>
        <w:t>：支出决算为2万元，完成预算100%。</w:t>
      </w:r>
    </w:p>
    <w:p>
      <w:pPr>
        <w:spacing w:line="560" w:lineRule="exact"/>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（4）一般公共服务支出（类）201发展与改革事务（款）04</w:t>
      </w:r>
      <w:r>
        <w:rPr>
          <w:rFonts w:hint="eastAsia" w:ascii="仿宋_GB2312" w:eastAsia="仿宋_GB2312"/>
          <w:color w:val="000000"/>
          <w:sz w:val="32"/>
          <w:szCs w:val="32"/>
        </w:rPr>
        <w:t>日常经济运行调节（项）05</w:t>
      </w:r>
      <w:r>
        <w:rPr>
          <w:rStyle w:val="14"/>
          <w:rFonts w:hint="eastAsia" w:ascii="仿宋_GB2312" w:eastAsia="仿宋_GB2312"/>
          <w:b w:val="0"/>
          <w:color w:val="000000"/>
          <w:sz w:val="32"/>
          <w:szCs w:val="32"/>
        </w:rPr>
        <w:t>：支出决算为36万元，完成预算100%。</w:t>
      </w:r>
    </w:p>
    <w:p>
      <w:pPr>
        <w:spacing w:line="560" w:lineRule="exact"/>
        <w:ind w:firstLine="320" w:firstLineChars="1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（5）</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一般行政管理事务（项）02</w:t>
      </w:r>
      <w:r>
        <w:rPr>
          <w:rStyle w:val="14"/>
          <w:rFonts w:hint="eastAsia" w:ascii="仿宋_GB2312" w:eastAsia="仿宋_GB2312"/>
          <w:b w:val="0"/>
          <w:color w:val="000000"/>
          <w:sz w:val="32"/>
          <w:szCs w:val="32"/>
        </w:rPr>
        <w:t>：支出决算为2万元，完成预算100%。</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（6）一般公共服务支出（类）201群众团体事务（款）29</w:t>
      </w:r>
      <w:r>
        <w:rPr>
          <w:rFonts w:hint="eastAsia" w:ascii="仿宋_GB2312" w:eastAsia="仿宋_GB2312"/>
          <w:color w:val="000000"/>
          <w:sz w:val="32"/>
          <w:szCs w:val="32"/>
        </w:rPr>
        <w:t xml:space="preserve">  其他群众团体事务支出（项）99</w:t>
      </w:r>
      <w:r>
        <w:rPr>
          <w:rStyle w:val="14"/>
          <w:rFonts w:hint="eastAsia" w:ascii="仿宋_GB2312" w:eastAsia="仿宋_GB2312"/>
          <w:b w:val="0"/>
          <w:color w:val="000000"/>
          <w:sz w:val="32"/>
          <w:szCs w:val="32"/>
        </w:rPr>
        <w:t>：支出决算为1万元，完成预算100%。</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（7）一般公共服务（类）201</w:t>
      </w:r>
      <w:r>
        <w:rPr>
          <w:rFonts w:hint="eastAsia" w:ascii="仿宋_GB2312" w:eastAsia="仿宋_GB2312"/>
          <w:color w:val="000000"/>
          <w:sz w:val="32"/>
          <w:szCs w:val="32"/>
        </w:rPr>
        <w:t>组织事务（款）32行政运行（项）01</w:t>
      </w:r>
      <w:r>
        <w:rPr>
          <w:rStyle w:val="14"/>
          <w:rFonts w:hint="eastAsia" w:ascii="仿宋_GB2312" w:eastAsia="仿宋_GB2312"/>
          <w:b w:val="0"/>
          <w:color w:val="000000"/>
          <w:sz w:val="32"/>
          <w:szCs w:val="32"/>
        </w:rPr>
        <w:t>：支出决算为2万元，完成预算100%。</w:t>
      </w:r>
    </w:p>
    <w:p>
      <w:pPr>
        <w:spacing w:line="560" w:lineRule="exact"/>
        <w:ind w:firstLine="320" w:firstLineChars="10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（8）一般公共服务（类）201</w:t>
      </w:r>
      <w:r>
        <w:rPr>
          <w:rFonts w:hint="eastAsia" w:ascii="仿宋_GB2312" w:eastAsia="仿宋_GB2312"/>
          <w:color w:val="000000"/>
          <w:sz w:val="32"/>
          <w:szCs w:val="32"/>
        </w:rPr>
        <w:t>组织事务（款）32一般行政管理（项）02</w:t>
      </w:r>
      <w:r>
        <w:rPr>
          <w:rStyle w:val="14"/>
          <w:rFonts w:hint="eastAsia" w:ascii="仿宋_GB2312" w:eastAsia="仿宋_GB2312"/>
          <w:b w:val="0"/>
          <w:color w:val="000000"/>
          <w:sz w:val="32"/>
          <w:szCs w:val="32"/>
        </w:rPr>
        <w:t>：支出决算为3万元，完成预算100%。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（9）.</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市场监督管理事务（款）38其他市场监督管理事务（项）99</w:t>
      </w:r>
      <w:r>
        <w:rPr>
          <w:rStyle w:val="14"/>
          <w:rFonts w:hint="eastAsia" w:ascii="仿宋_GB2312" w:eastAsia="仿宋_GB2312"/>
          <w:b w:val="0"/>
          <w:color w:val="000000"/>
          <w:sz w:val="32"/>
          <w:szCs w:val="32"/>
        </w:rPr>
        <w:t>：支出决算为2万元，完成预算100%。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（10）.</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w:t>
      </w:r>
      <w:r>
        <w:rPr>
          <w:rStyle w:val="14"/>
          <w:rFonts w:hint="eastAsia" w:ascii="仿宋_GB2312" w:eastAsia="仿宋_GB2312"/>
          <w:b w:val="0"/>
          <w:color w:val="000000"/>
          <w:sz w:val="32"/>
          <w:szCs w:val="32"/>
        </w:rPr>
        <w:t>：支出决算为90.84万元，完成预算100%。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2.公共安全支出（类）204，支出决算为5万元，完成预算</w:t>
      </w:r>
      <w:r>
        <w:rPr>
          <w:rStyle w:val="14"/>
          <w:rFonts w:hint="eastAsia" w:ascii="仿宋_GB2312" w:eastAsia="仿宋_GB2312"/>
          <w:b w:val="0"/>
          <w:color w:val="000000"/>
          <w:sz w:val="32"/>
          <w:szCs w:val="32"/>
        </w:rPr>
        <w:t>100%，其中：</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公共安全支出（类）204国家安全（款）03其他国家安全支出（项）99</w:t>
      </w:r>
      <w:r>
        <w:rPr>
          <w:rStyle w:val="14"/>
          <w:rFonts w:hint="eastAsia" w:ascii="仿宋_GB2312" w:eastAsia="仿宋_GB2312"/>
          <w:b w:val="0"/>
          <w:color w:val="000000"/>
          <w:sz w:val="32"/>
          <w:szCs w:val="32"/>
        </w:rPr>
        <w:t>：支出决算为5万元，完成预算100%。</w:t>
      </w:r>
    </w:p>
    <w:p>
      <w:pPr>
        <w:spacing w:line="560" w:lineRule="exact"/>
        <w:ind w:firstLine="320" w:firstLineChars="100"/>
        <w:rPr>
          <w:rStyle w:val="14"/>
          <w:rFonts w:ascii="仿宋_GB2312" w:eastAsia="仿宋_GB2312"/>
          <w:b w:val="0"/>
          <w:sz w:val="32"/>
          <w:szCs w:val="32"/>
        </w:rPr>
      </w:pPr>
      <w:r>
        <w:rPr>
          <w:rFonts w:hint="eastAsia" w:ascii="楷体_GB2312" w:hAnsi="楷体_GB2312" w:eastAsia="楷体_GB2312" w:cs="楷体_GB2312"/>
          <w:sz w:val="32"/>
          <w:szCs w:val="32"/>
        </w:rPr>
        <w:t>3.社会保障和就业支出（类）208，支出决算为31.25万元，完成预算</w:t>
      </w:r>
      <w:r>
        <w:rPr>
          <w:rStyle w:val="14"/>
          <w:rFonts w:hint="eastAsia" w:ascii="仿宋_GB2312" w:eastAsia="仿宋_GB2312"/>
          <w:b w:val="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社会保障和就业支出（类）208行政事业单位养老支出（款）05机关事业单位基本养老保险缴费支出（项）05</w:t>
      </w:r>
      <w:r>
        <w:rPr>
          <w:rStyle w:val="14"/>
          <w:rFonts w:hint="eastAsia" w:ascii="仿宋_GB2312" w:eastAsia="仿宋_GB2312"/>
          <w:b w:val="0"/>
          <w:color w:val="000000"/>
          <w:sz w:val="32"/>
          <w:szCs w:val="32"/>
        </w:rPr>
        <w:t>：支出决算为21.47万元，完成预算100%。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社会保障和就业支出（类）208行政事业单位养老支出（款）05机关事业单位职业年金缴费支出（项）06</w:t>
      </w:r>
      <w:r>
        <w:rPr>
          <w:rStyle w:val="14"/>
          <w:rFonts w:hint="eastAsia" w:ascii="仿宋_GB2312" w:eastAsia="仿宋_GB2312"/>
          <w:b w:val="0"/>
          <w:color w:val="000000"/>
          <w:sz w:val="32"/>
          <w:szCs w:val="32"/>
        </w:rPr>
        <w:t>：支出决算为5.66万元，完成预算100%。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社会保障和就业支出（类）208抚恤（款）08死亡抚恤（项）01：</w:t>
      </w:r>
      <w:r>
        <w:rPr>
          <w:rStyle w:val="14"/>
          <w:rFonts w:hint="eastAsia" w:ascii="仿宋_GB2312" w:eastAsia="仿宋_GB2312"/>
          <w:b w:val="0"/>
          <w:color w:val="000000"/>
          <w:sz w:val="32"/>
          <w:szCs w:val="32"/>
        </w:rPr>
        <w:t>支出决算为4.12万元，完成预算100%。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4.卫生健康支出（类）210，支出决算为16.58万元，完成预算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卫生健康支出（类）210公共卫生（类）04重大公共卫生服务（项）09</w:t>
      </w:r>
      <w:r>
        <w:rPr>
          <w:rStyle w:val="14"/>
          <w:rFonts w:hint="eastAsia" w:ascii="仿宋_GB2312" w:eastAsia="仿宋_GB2312"/>
          <w:b w:val="0"/>
          <w:color w:val="000000"/>
          <w:sz w:val="32"/>
          <w:szCs w:val="32"/>
        </w:rPr>
        <w:t>：支出决算为6.39万元，完成预算100%。</w:t>
      </w:r>
    </w:p>
    <w:p>
      <w:pPr>
        <w:spacing w:line="560" w:lineRule="exact"/>
        <w:ind w:firstLine="640"/>
        <w:rPr>
          <w:rFonts w:ascii="仿宋_GB2312" w:eastAsia="仿宋_GB2312"/>
          <w:color w:val="000000"/>
          <w:sz w:val="32"/>
          <w:szCs w:val="32"/>
        </w:rPr>
      </w:pP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卫生健康支出（类）210行政事业单位医疗（类）11行政单位医疗（项）01</w:t>
      </w:r>
      <w:r>
        <w:rPr>
          <w:rStyle w:val="14"/>
          <w:rFonts w:hint="eastAsia" w:ascii="仿宋_GB2312" w:eastAsia="仿宋_GB2312"/>
          <w:b w:val="0"/>
          <w:color w:val="000000"/>
          <w:sz w:val="32"/>
          <w:szCs w:val="32"/>
        </w:rPr>
        <w:t>：支出决算为10.19万元，完成预算100%。</w:t>
      </w:r>
    </w:p>
    <w:p>
      <w:pPr>
        <w:spacing w:line="560" w:lineRule="exact"/>
        <w:ind w:firstLine="640" w:firstLineChars="2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5.城乡社区支出（类）212，支出决算为11.7万元，完成预算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城乡社区支出（类）212城乡社区管理事务（款）01城管执法（项）04</w:t>
      </w:r>
      <w:r>
        <w:rPr>
          <w:rStyle w:val="14"/>
          <w:rFonts w:hint="eastAsia" w:ascii="仿宋_GB2312" w:eastAsia="仿宋_GB2312"/>
          <w:b w:val="0"/>
          <w:color w:val="000000"/>
          <w:sz w:val="32"/>
          <w:szCs w:val="32"/>
        </w:rPr>
        <w:t>：支出决算为1万元，完成预算100%。</w:t>
      </w:r>
    </w:p>
    <w:p>
      <w:pPr>
        <w:spacing w:line="560" w:lineRule="exact"/>
        <w:ind w:firstLine="640" w:firstLineChars="200"/>
        <w:rPr>
          <w:rStyle w:val="14"/>
          <w:rFonts w:ascii="仿宋_GB2312" w:eastAsia="仿宋_GB2312"/>
          <w:b w:val="0"/>
          <w:color w:val="000000"/>
          <w:sz w:val="32"/>
          <w:szCs w:val="32"/>
        </w:rPr>
      </w:pPr>
      <w:r>
        <w:rPr>
          <w:rFonts w:hint="eastAsia" w:ascii="仿宋_GB2312" w:eastAsia="仿宋_GB2312"/>
          <w:color w:val="000000"/>
          <w:sz w:val="32"/>
          <w:szCs w:val="32"/>
        </w:rPr>
        <w:t>（2）.城乡社区支出（类）212城乡社区环境卫生（款）05城乡社区环境卫生（项）01</w:t>
      </w:r>
      <w:r>
        <w:rPr>
          <w:rStyle w:val="14"/>
          <w:rFonts w:hint="eastAsia" w:ascii="仿宋_GB2312" w:eastAsia="仿宋_GB2312"/>
          <w:b w:val="0"/>
          <w:color w:val="000000"/>
          <w:sz w:val="32"/>
          <w:szCs w:val="32"/>
        </w:rPr>
        <w:t>：支出决算为10.7万元，完成预算100%。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6.农林水支出（类）213，支出决算为343.88万元，完成预算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农林水支出（类）213农业（款）01病虫害控制（项）08</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农林水支出（类）213水利（款）03防汛（项）14</w:t>
      </w:r>
      <w:r>
        <w:rPr>
          <w:rStyle w:val="14"/>
          <w:rFonts w:hint="eastAsia" w:ascii="仿宋_GB2312" w:eastAsia="仿宋_GB2312"/>
          <w:b w:val="0"/>
          <w:color w:val="000000"/>
          <w:sz w:val="32"/>
          <w:szCs w:val="32"/>
        </w:rPr>
        <w:t>：支出决算为2万元，完成预算100%。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农林水支出（类）213水利（款）03 农村水利（项）16</w:t>
      </w:r>
      <w:r>
        <w:rPr>
          <w:rStyle w:val="14"/>
          <w:rFonts w:hint="eastAsia" w:ascii="仿宋_GB2312" w:eastAsia="仿宋_GB2312"/>
          <w:b w:val="0"/>
          <w:color w:val="000000"/>
          <w:sz w:val="32"/>
          <w:szCs w:val="32"/>
        </w:rPr>
        <w:t>：支出决算为15万元，完成预算100%。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（4）.</w:t>
      </w:r>
      <w:r>
        <w:rPr>
          <w:rFonts w:hint="eastAsia" w:ascii="仿宋_GB2312" w:eastAsia="仿宋_GB2312"/>
          <w:color w:val="000000"/>
          <w:sz w:val="32"/>
          <w:szCs w:val="32"/>
        </w:rPr>
        <w:t>农林水支出（类）213农村综合改革（款）07对村民委员会和村党支部的补助（项）05</w:t>
      </w:r>
      <w:r>
        <w:rPr>
          <w:rStyle w:val="14"/>
          <w:rFonts w:hint="eastAsia" w:ascii="仿宋_GB2312" w:eastAsia="仿宋_GB2312"/>
          <w:b w:val="0"/>
          <w:color w:val="000000"/>
          <w:sz w:val="32"/>
          <w:szCs w:val="32"/>
        </w:rPr>
        <w:t>：支出决算为296.88万元，完成预算100%。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(5).</w:t>
      </w:r>
      <w:r>
        <w:rPr>
          <w:rFonts w:hint="eastAsia" w:ascii="仿宋_GB2312" w:eastAsia="仿宋_GB2312"/>
          <w:color w:val="000000"/>
          <w:sz w:val="32"/>
          <w:szCs w:val="32"/>
        </w:rPr>
        <w:t>农林水支出（类）213农村综合改革（款）07其他农村综合改革支出（项）99</w:t>
      </w:r>
      <w:r>
        <w:rPr>
          <w:rStyle w:val="14"/>
          <w:rFonts w:hint="eastAsia" w:ascii="仿宋_GB2312" w:eastAsia="仿宋_GB2312"/>
          <w:b w:val="0"/>
          <w:color w:val="000000"/>
          <w:sz w:val="32"/>
          <w:szCs w:val="32"/>
        </w:rPr>
        <w:t>：支出决算为30万元，完成预算100%。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7.交通运输支出（类）214，支出决算为21万元，完成预算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交通运输支出（类）214公路水路运输（款）01公路养护（项）06</w:t>
      </w:r>
      <w:r>
        <w:rPr>
          <w:rStyle w:val="14"/>
          <w:rFonts w:hint="eastAsia" w:ascii="仿宋_GB2312" w:eastAsia="仿宋_GB2312"/>
          <w:b w:val="0"/>
          <w:color w:val="000000"/>
          <w:sz w:val="32"/>
          <w:szCs w:val="32"/>
        </w:rPr>
        <w:t>：支出决算为20万元，完成预算100%。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交通运输支出（类）214公路水路运输（款）01其他公路水路运输支出（项）99</w:t>
      </w:r>
      <w:r>
        <w:rPr>
          <w:rStyle w:val="14"/>
          <w:rFonts w:hint="eastAsia" w:ascii="仿宋_GB2312" w:eastAsia="仿宋_GB2312"/>
          <w:b w:val="0"/>
          <w:color w:val="000000"/>
          <w:sz w:val="32"/>
          <w:szCs w:val="32"/>
        </w:rPr>
        <w:t>：支出决算为1万元，完成预算100%。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8.住房保障支出（类）221，支出决算为26.43万元，完成预算</w:t>
      </w:r>
      <w:r>
        <w:rPr>
          <w:rStyle w:val="14"/>
          <w:rFonts w:hint="eastAsia" w:ascii="仿宋_GB2312" w:eastAsia="仿宋_GB2312"/>
          <w:b w:val="0"/>
          <w:color w:val="000000"/>
          <w:sz w:val="32"/>
          <w:szCs w:val="32"/>
        </w:rPr>
        <w:t>100%，其中：</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住房保障支出（类）221住房改革支出（款）02住房公积金（项）01</w:t>
      </w:r>
      <w:r>
        <w:rPr>
          <w:rStyle w:val="14"/>
          <w:rFonts w:hint="eastAsia" w:ascii="仿宋_GB2312" w:eastAsia="仿宋_GB2312"/>
          <w:b w:val="0"/>
          <w:color w:val="000000"/>
          <w:sz w:val="32"/>
          <w:szCs w:val="32"/>
        </w:rPr>
        <w:t>：支出决算为26.43万元，完成预算100%。</w:t>
      </w:r>
    </w:p>
    <w:p>
      <w:pPr>
        <w:spacing w:line="560" w:lineRule="exact"/>
        <w:ind w:firstLine="640"/>
        <w:rPr>
          <w:rStyle w:val="14"/>
          <w:rFonts w:ascii="仿宋_GB2312" w:eastAsia="仿宋_GB2312"/>
          <w:b w:val="0"/>
          <w:color w:val="000000"/>
          <w:sz w:val="32"/>
          <w:szCs w:val="32"/>
        </w:rPr>
      </w:pPr>
      <w:bookmarkStart w:id="38" w:name="_Toc15396608"/>
      <w:bookmarkStart w:id="39" w:name="_Toc15377214"/>
      <w:r>
        <w:rPr>
          <w:rFonts w:hint="eastAsia" w:ascii="楷体_GB2312" w:hAnsi="楷体_GB2312" w:eastAsia="楷体_GB2312" w:cs="楷体_GB2312"/>
          <w:color w:val="000000"/>
          <w:sz w:val="32"/>
          <w:szCs w:val="32"/>
        </w:rPr>
        <w:t>9.应急防治及应急管理支出（类）224，支出决算为39.36万元，完成预算</w:t>
      </w:r>
      <w:r>
        <w:rPr>
          <w:rStyle w:val="14"/>
          <w:rFonts w:hint="eastAsia" w:ascii="仿宋_GB2312" w:eastAsia="仿宋_GB2312"/>
          <w:b w:val="0"/>
          <w:color w:val="000000"/>
          <w:sz w:val="32"/>
          <w:szCs w:val="32"/>
        </w:rPr>
        <w:t>100%，其中：</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应急管理事务（款）01一般行政管理事务（项）02</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应急管理事务（款）01安全监管（项）06</w:t>
      </w:r>
      <w:r>
        <w:rPr>
          <w:rStyle w:val="14"/>
          <w:rFonts w:hint="eastAsia" w:ascii="仿宋_GB2312" w:eastAsia="仿宋_GB2312"/>
          <w:b w:val="0"/>
          <w:color w:val="000000"/>
          <w:sz w:val="32"/>
          <w:szCs w:val="32"/>
        </w:rPr>
        <w:t>：支出决算为1万元，完成预算100%。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 w:hAnsi="仿宋" w:eastAsia="仿宋" w:cs="仿宋"/>
          <w:color w:val="000000"/>
          <w:sz w:val="32"/>
          <w:szCs w:val="32"/>
        </w:rPr>
        <w:t>应急防治及应急管理支出（类）224其他灾害防治及</w:t>
      </w:r>
      <w:r>
        <w:rPr>
          <w:rFonts w:hint="eastAsia" w:ascii="仿宋_GB2312" w:eastAsia="仿宋_GB2312"/>
          <w:color w:val="000000"/>
          <w:sz w:val="32"/>
          <w:szCs w:val="32"/>
        </w:rPr>
        <w:t>应急管理支出（款）99</w:t>
      </w:r>
      <w:r>
        <w:rPr>
          <w:rFonts w:hint="eastAsia" w:ascii="仿宋" w:hAnsi="仿宋" w:eastAsia="仿宋" w:cs="仿宋"/>
          <w:color w:val="000000"/>
          <w:sz w:val="32"/>
          <w:szCs w:val="32"/>
        </w:rPr>
        <w:t>其他灾害防治及</w:t>
      </w:r>
      <w:r>
        <w:rPr>
          <w:rFonts w:hint="eastAsia" w:ascii="仿宋_GB2312" w:eastAsia="仿宋_GB2312"/>
          <w:color w:val="000000"/>
          <w:sz w:val="32"/>
          <w:szCs w:val="32"/>
        </w:rPr>
        <w:t>应急管理支出（项）00</w:t>
      </w:r>
      <w:r>
        <w:rPr>
          <w:rStyle w:val="14"/>
          <w:rFonts w:hint="eastAsia" w:ascii="仿宋_GB2312" w:eastAsia="仿宋_GB2312"/>
          <w:b w:val="0"/>
          <w:color w:val="000000"/>
          <w:sz w:val="32"/>
          <w:szCs w:val="32"/>
        </w:rPr>
        <w:t>：支出决算为25万元，完成预算100%。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（4）.</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森林消防事务（款）03其他森林消防事务支出（项）99</w:t>
      </w:r>
      <w:r>
        <w:rPr>
          <w:rStyle w:val="14"/>
          <w:rFonts w:hint="eastAsia" w:ascii="仿宋_GB2312" w:eastAsia="仿宋_GB2312"/>
          <w:b w:val="0"/>
          <w:color w:val="000000"/>
          <w:sz w:val="32"/>
          <w:szCs w:val="32"/>
        </w:rPr>
        <w:t>：支出决算为2万元，完成预算100%。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（5）.</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自然灾害防治（款）06其他自然灾害防治支出（项）99</w:t>
      </w:r>
      <w:r>
        <w:rPr>
          <w:rStyle w:val="14"/>
          <w:rFonts w:hint="eastAsia" w:ascii="仿宋_GB2312" w:eastAsia="仿宋_GB2312"/>
          <w:b w:val="0"/>
          <w:color w:val="000000"/>
          <w:sz w:val="32"/>
          <w:szCs w:val="32"/>
        </w:rPr>
        <w:t>：支出决算为8.06万元，完成预算100%。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（6）.</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自然灾害生活救灾及恢复重建支出（款）07中央自然灾害生活补助（项）01</w:t>
      </w:r>
      <w:r>
        <w:rPr>
          <w:rStyle w:val="14"/>
          <w:rFonts w:hint="eastAsia" w:ascii="仿宋_GB2312" w:eastAsia="仿宋_GB2312"/>
          <w:b w:val="0"/>
          <w:color w:val="000000"/>
          <w:sz w:val="32"/>
          <w:szCs w:val="32"/>
        </w:rPr>
        <w:t>：支出决算为0.3万元，完成预算100%。</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（7）.</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自然灾害生活救灾及恢复重建支出（款）07自然灾害救灾补助（项）03</w:t>
      </w:r>
      <w:r>
        <w:rPr>
          <w:rStyle w:val="14"/>
          <w:rFonts w:hint="eastAsia" w:ascii="仿宋_GB2312" w:eastAsia="仿宋_GB2312"/>
          <w:b w:val="0"/>
          <w:color w:val="000000"/>
          <w:sz w:val="32"/>
          <w:szCs w:val="32"/>
        </w:rPr>
        <w:t>：支出决算为2万元，完成预算100%。</w:t>
      </w:r>
    </w:p>
    <w:bookmarkEnd w:id="38"/>
    <w:bookmarkEnd w:id="39"/>
    <w:p>
      <w:pPr>
        <w:tabs>
          <w:tab w:val="right" w:pos="8306"/>
        </w:tabs>
        <w:spacing w:line="600" w:lineRule="exact"/>
        <w:ind w:firstLine="640" w:firstLineChars="200"/>
        <w:outlineLvl w:val="1"/>
        <w:rPr>
          <w:rStyle w:val="25"/>
        </w:rPr>
      </w:pPr>
      <w:bookmarkStart w:id="40" w:name="_Toc15396614"/>
      <w:bookmarkStart w:id="41" w:name="_Toc15377226"/>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20年一般公共预算财政拨款基本支出356.80万元，其中：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187.62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169.19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20年“三公”经费财政拨款支出决算为0.29万元，完成预算7.25</w:t>
      </w:r>
      <w:r>
        <w:rPr>
          <w:rFonts w:ascii="仿宋" w:hAnsi="仿宋" w:eastAsia="仿宋"/>
          <w:color w:val="000000"/>
          <w:sz w:val="32"/>
          <w:szCs w:val="32"/>
        </w:rPr>
        <w:t>%</w:t>
      </w:r>
      <w:r>
        <w:rPr>
          <w:rFonts w:hint="eastAsia" w:ascii="仿宋" w:hAnsi="仿宋" w:eastAsia="仿宋"/>
          <w:color w:val="000000"/>
          <w:sz w:val="32"/>
          <w:szCs w:val="32"/>
        </w:rPr>
        <w:t>，决算数小于预算数，主要原因是厉行节约。</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；公务接待费支出决算0.29万元，占7.25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年初未安排出国预算。</w:t>
      </w:r>
      <w:r>
        <w:rPr>
          <w:rFonts w:hint="eastAsia" w:ascii="仿宋" w:hAnsi="仿宋" w:eastAsia="仿宋"/>
          <w:color w:val="000000"/>
          <w:sz w:val="32"/>
          <w:szCs w:val="32"/>
        </w:rPr>
        <w:t>因公出国（境）经费支出较2019年无变化</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年初未安排预算，较2019年无变化。本年无公务用车购置，截至2020年12月，单位共有公务用车0辆</w:t>
      </w:r>
      <w:r>
        <w:rPr>
          <w:rFonts w:hint="eastAsia" w:ascii="仿宋_GB2312" w:eastAsia="仿宋_GB2312"/>
          <w:color w:val="000000"/>
          <w:sz w:val="32"/>
          <w:szCs w:val="32"/>
        </w:rPr>
        <w:t>。</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0.29万元，</w:t>
      </w:r>
      <w:r>
        <w:rPr>
          <w:rStyle w:val="14"/>
          <w:rFonts w:hint="eastAsia" w:ascii="仿宋" w:hAnsi="仿宋" w:eastAsia="仿宋"/>
          <w:b w:val="0"/>
          <w:bCs/>
          <w:color w:val="000000"/>
          <w:sz w:val="32"/>
          <w:szCs w:val="32"/>
        </w:rPr>
        <w:t>完成预算</w:t>
      </w:r>
      <w:r>
        <w:rPr>
          <w:rFonts w:hint="eastAsia" w:ascii="仿宋" w:hAnsi="仿宋" w:eastAsia="仿宋"/>
          <w:color w:val="000000"/>
          <w:sz w:val="32"/>
          <w:szCs w:val="32"/>
        </w:rPr>
        <w:t>7.25</w:t>
      </w:r>
      <w:r>
        <w:rPr>
          <w:rFonts w:ascii="仿宋" w:hAnsi="仿宋" w:eastAsia="仿宋"/>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w:t>
      </w:r>
      <w:r>
        <w:rPr>
          <w:rFonts w:hint="eastAsia" w:ascii="仿宋" w:hAnsi="仿宋" w:eastAsia="仿宋"/>
          <w:color w:val="000000"/>
          <w:sz w:val="32"/>
          <w:szCs w:val="32"/>
        </w:rPr>
        <w:t>19年减少0.02万元，下降6.45</w:t>
      </w:r>
      <w:r>
        <w:rPr>
          <w:rFonts w:ascii="仿宋" w:hAnsi="仿宋" w:eastAsia="仿宋"/>
          <w:color w:val="000000"/>
          <w:sz w:val="32"/>
          <w:szCs w:val="32"/>
        </w:rPr>
        <w:t>%</w:t>
      </w:r>
      <w:r>
        <w:rPr>
          <w:rFonts w:hint="eastAsia" w:ascii="仿宋" w:hAnsi="仿宋" w:eastAsia="仿宋"/>
          <w:color w:val="000000"/>
          <w:sz w:val="32"/>
          <w:szCs w:val="32"/>
        </w:rPr>
        <w:t>。主要原因是落实厉行节约。</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公务接待</w:t>
      </w:r>
      <w:r>
        <w:rPr>
          <w:rFonts w:hint="eastAsia" w:ascii="仿宋" w:hAnsi="仿宋" w:eastAsia="仿宋"/>
          <w:color w:val="000000"/>
          <w:sz w:val="32"/>
          <w:szCs w:val="32"/>
        </w:rPr>
        <w:t>主要用于执行公务、开展业务活动开支的用餐费等。国内公务接待3批次，33人次（不包括陪同人员），共计支出0.29万元。</w:t>
      </w:r>
    </w:p>
    <w:p>
      <w:pPr>
        <w:spacing w:line="600" w:lineRule="exact"/>
        <w:ind w:firstLine="640" w:firstLineChars="200"/>
        <w:outlineLvl w:val="1"/>
        <w:rPr>
          <w:rStyle w:val="25"/>
          <w:rFonts w:ascii="黑体" w:hAnsi="黑体" w:eastAsia="黑体"/>
        </w:rPr>
      </w:pPr>
      <w:bookmarkStart w:id="46" w:name="_Toc15377218"/>
      <w:bookmarkStart w:id="47"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2020年政府性基金预算拨款支出0万元。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themeColor="text1"/>
          <w:sz w:val="32"/>
          <w:szCs w:val="32"/>
        </w:rPr>
        <w:t>2020年国有资本经营预算拨款支出0万元。</w:t>
      </w:r>
    </w:p>
    <w:p>
      <w:pPr>
        <w:spacing w:line="600" w:lineRule="exact"/>
        <w:ind w:firstLine="640" w:firstLineChars="20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2020年度收总计169.19万元。与2019年相比，收、支总计下降55.5万元，增长1.49%。</w:t>
      </w:r>
      <w:bookmarkStart w:id="53" w:name="_Toc15377223"/>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20年，石龙街道政府采购支出总额1.50万元。主要用于其中：政府采购办公电脑3台支出1.50万元。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 w:hAnsi="仿宋" w:eastAsia="仿宋" w:cs="Times New Roman"/>
          <w:color w:val="000000"/>
          <w:kern w:val="2"/>
          <w:sz w:val="32"/>
          <w:szCs w:val="32"/>
          <w:lang w:val="en-US" w:eastAsia="zh-CN" w:bidi="ar"/>
        </w:rPr>
        <w:t>截至2020年12月31日，</w:t>
      </w:r>
      <w:r>
        <w:rPr>
          <w:rFonts w:hint="eastAsia" w:ascii="仿宋" w:hAnsi="仿宋" w:eastAsia="仿宋"/>
          <w:color w:val="000000"/>
          <w:sz w:val="32"/>
          <w:szCs w:val="32"/>
        </w:rPr>
        <w:t>石龙街道共有车辆0辆。</w:t>
      </w:r>
      <w:r>
        <w:rPr>
          <w:rFonts w:hint="eastAsia" w:ascii="仿宋" w:hAnsi="仿宋" w:eastAsia="仿宋" w:cs="Times New Roman"/>
          <w:color w:val="000000"/>
          <w:kern w:val="2"/>
          <w:sz w:val="32"/>
          <w:szCs w:val="32"/>
          <w:lang w:val="en-US" w:eastAsia="zh-CN" w:bidi="ar"/>
        </w:rPr>
        <w:t>单价50万元以上通用设备0台（套），单价100万元以上专用设备0台（套）。</w:t>
      </w:r>
    </w:p>
    <w:p>
      <w:pPr>
        <w:numPr>
          <w:ilvl w:val="0"/>
          <w:numId w:val="3"/>
        </w:numPr>
        <w:spacing w:line="600" w:lineRule="exact"/>
        <w:ind w:firstLine="662"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widowControl/>
        <w:ind w:firstLine="640" w:firstLineChars="200"/>
        <w:jc w:val="left"/>
      </w:pPr>
      <w:r>
        <w:rPr>
          <w:rFonts w:hint="eastAsia" w:ascii="仿宋_GB2312" w:eastAsia="仿宋_GB2312"/>
          <w:color w:val="000000"/>
          <w:sz w:val="32"/>
          <w:szCs w:val="32"/>
        </w:rPr>
        <w:t>5.</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7.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专项业务活动（项）05：指反映各级政府举行各类重大活动、召开重要会议（如国务院一类会议、国庆招待会、全国劳模大会）的支出，政府机关房地产管理、公务用车管理等方面的支出。</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 xml:space="preserve">8.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：反映日常经济运行调节方面的支出。</w:t>
      </w:r>
    </w:p>
    <w:p>
      <w:pPr>
        <w:spacing w:line="560" w:lineRule="exact"/>
        <w:ind w:firstLine="640" w:firstLineChars="200"/>
        <w:rPr>
          <w:rStyle w:val="14"/>
          <w:rFonts w:ascii="仿宋_GB2312" w:eastAsia="仿宋_GB2312"/>
          <w:b w:val="0"/>
          <w:color w:val="000000"/>
          <w:sz w:val="32"/>
          <w:szCs w:val="32"/>
        </w:rPr>
      </w:pPr>
      <w:r>
        <w:rPr>
          <w:rFonts w:hint="eastAsia" w:ascii="仿宋_GB2312" w:eastAsia="仿宋_GB2312"/>
          <w:sz w:val="32"/>
          <w:szCs w:val="32"/>
        </w:rPr>
        <w:t xml:space="preserve">9. </w:t>
      </w:r>
      <w:r>
        <w:rPr>
          <w:rFonts w:hint="eastAsia" w:ascii="仿宋_GB2312" w:hAnsi="仿宋_GB2312" w:eastAsia="仿宋_GB2312" w:cs="仿宋_GB2312"/>
          <w:kern w:val="0"/>
          <w:sz w:val="32"/>
          <w:szCs w:val="32"/>
        </w:rPr>
        <w:t>一般公共服务支出（类）201纪检监察事务（款）11一般行政管理事务（项）02</w:t>
      </w:r>
      <w:r>
        <w:rPr>
          <w:rStyle w:val="14"/>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 xml:space="preserve">10.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群众团体事务（款）29一其他群众团体事务支出（项）99：</w:t>
      </w:r>
      <w:r>
        <w:rPr>
          <w:rFonts w:hint="eastAsia" w:ascii="仿宋_GB2312" w:eastAsia="仿宋_GB2312"/>
          <w:sz w:val="32"/>
          <w:szCs w:val="32"/>
        </w:rPr>
        <w:t>反映除上诉项目以外其他用于群众团体事务方面的支出。</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11.</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：指反映行政单位（包括实行公务员管理的事业单位）未单独设置顶级科目的去他项目支出。</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12.</w:t>
      </w:r>
      <w:r>
        <w:rPr>
          <w:rFonts w:hint="eastAsia" w:ascii="仿宋_GB2312" w:hAnsi="仿宋_GB2312" w:eastAsia="仿宋_GB2312" w:cs="仿宋_GB2312"/>
          <w:kern w:val="0"/>
          <w:sz w:val="32"/>
          <w:szCs w:val="32"/>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sz w:val="32"/>
          <w:szCs w:val="32"/>
        </w:rPr>
        <w:t>反映除上诉项目以外其他用于中国共产党 组织部门的事务支出。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市场监督管理专项（项）04：</w:t>
      </w:r>
      <w:r>
        <w:rPr>
          <w:rFonts w:hint="eastAsia" w:ascii="仿宋_GB2312" w:eastAsia="仿宋_GB2312"/>
          <w:sz w:val="32"/>
          <w:szCs w:val="32"/>
        </w:rPr>
        <w:t>反映从事市场监督管理专项业务方面的支出，单设科目的业务除外。</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14.一般公共服务（类）201市场监督管理事务（款）38</w:t>
      </w:r>
      <w:r>
        <w:rPr>
          <w:rFonts w:hint="eastAsia" w:ascii="仿宋_GB2312" w:eastAsia="仿宋_GB2312"/>
          <w:color w:val="000000"/>
          <w:sz w:val="32"/>
          <w:szCs w:val="32"/>
        </w:rPr>
        <w:t>其他市场监督管理事务（项）99：</w:t>
      </w:r>
      <w:r>
        <w:rPr>
          <w:rFonts w:hint="eastAsia" w:ascii="仿宋_GB2312" w:eastAsia="仿宋_GB2312"/>
          <w:sz w:val="32"/>
          <w:szCs w:val="32"/>
        </w:rPr>
        <w:t>反映用于除上述项目以外其他市场监督管理事务方面的支出。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其他一般公共服务支出（款）99其他一般公共服务支出（项）99：反映除上述项目为包括的一般公共服务支出。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16.公共安全支出（类）204国家安全（款）03其他国家安全支出（项）99：指反映用于安全方面的支出。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19.卫生健康支出（类）210公共卫生（款）04突发公共卫生事件应急处理（项）10：</w:t>
      </w:r>
      <w:r>
        <w:rPr>
          <w:rFonts w:hint="eastAsia" w:ascii="仿宋_GB2312" w:eastAsia="仿宋_GB2312"/>
          <w:sz w:val="32"/>
          <w:szCs w:val="32"/>
        </w:rPr>
        <w:t>反映用于突发公共卫生事件应急处理的支出</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21.城乡社区支出（类）212城乡社区管理事务（款）01城管执法（项）01：放映城市综合管理执法、加强城市市容和环境卫生管理等方面支出。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23.城乡社区支出（类）212其他城乡社区支出（款）99  其他城乡社区支出（项）01：</w:t>
      </w:r>
      <w:r>
        <w:rPr>
          <w:rFonts w:hint="eastAsia" w:ascii="仿宋_GB2312" w:eastAsia="仿宋_GB2312"/>
          <w:sz w:val="32"/>
          <w:szCs w:val="32"/>
        </w:rPr>
        <w:t>反映除上述以外其他用于城乡社区方面的支出。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25.农林水支出（类）213农业（款）01农业组织化与产业化经营（项）24：反映对农民专业合作社组织、农业产业化龙头企业等开展基地建设、质量标准认证等方面的补助支出。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26.农林水支出（类）213水利（款）03 水利工程运行及维护（项）16：反映对农田水利和打井、集雨设施、节水灌溉等水利设施补助，小型水库除险补助以及排灌站、小水电补助等。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29.农林水支出（类）213农村综合改革（款）07对村集体经济组织补助（项）06：反映农村税费改革后对村集体组织的补助支出。</w:t>
      </w:r>
    </w:p>
    <w:p>
      <w:pPr>
        <w:numPr>
          <w:ilvl w:val="0"/>
          <w:numId w:val="4"/>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交通运输支出（类）214公路水路运输（款）01公路养护（项）06：指反映公路养护支出。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31.交通运输支出（类）214公路水路运输（款）01公路和运输安全（项）10：指反映公路和运输安全支出。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32.交通运输支出（类）214公路水路运输（款）01其他公路水路运输支出（项）99：指反映上述项目以外其他用于公路水路运输方面的支出。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33.住房保障支出（类）221住房改革支出（款）02住房公积金（项）01：指反映行政事业单位按人力资源和社会保障部、财政部规定的基本工资和津贴补贴以及规定比例为职工缴纳的住房公积金。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34.</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应急管理事务（款）01一般行政管理事务（项）02：反映行政单位（包括实行公务员管理的事业单位）未单独设置项级科目的其他项目的支出。</w:t>
      </w:r>
    </w:p>
    <w:p>
      <w:pPr>
        <w:spacing w:line="56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35.应急防治及应急管理支出（类）224</w:t>
      </w:r>
      <w:r>
        <w:rPr>
          <w:rFonts w:hint="eastAsia" w:ascii="仿宋_GB2312" w:eastAsia="仿宋_GB2312"/>
          <w:color w:val="000000"/>
          <w:sz w:val="32"/>
          <w:szCs w:val="32"/>
        </w:rPr>
        <w:t>应急管理事务（款）01安全监管（项）06：反映安全生产监管方面的支出。</w:t>
      </w:r>
    </w:p>
    <w:p>
      <w:pPr>
        <w:spacing w:line="56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36.应急防治及应急管理支出（类）224</w:t>
      </w:r>
      <w:r>
        <w:rPr>
          <w:rFonts w:hint="eastAsia" w:ascii="仿宋_GB2312" w:eastAsia="仿宋_GB2312"/>
          <w:color w:val="000000"/>
          <w:sz w:val="32"/>
          <w:szCs w:val="32"/>
        </w:rPr>
        <w:t>应急管理事务（款）01其他应急管理支出（项）99：反映除上述项目外的其他应急管理方面的支出。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w:t>
      </w:r>
      <w:r>
        <w:rPr>
          <w:rFonts w:hint="eastAsia" w:ascii="仿宋" w:hAnsi="仿宋" w:eastAsia="仿宋" w:cs="仿宋"/>
          <w:color w:val="000000"/>
          <w:sz w:val="32"/>
          <w:szCs w:val="32"/>
        </w:rPr>
        <w:t>应急防治及应急管理支出（类）224森林消防事务</w:t>
      </w:r>
      <w:r>
        <w:rPr>
          <w:rFonts w:hint="eastAsia" w:ascii="仿宋_GB2312" w:eastAsia="仿宋_GB2312"/>
          <w:color w:val="000000"/>
          <w:sz w:val="32"/>
          <w:szCs w:val="32"/>
        </w:rPr>
        <w:t>（款）03其他森林消防事务支出（项）99：反映除上述项目外其他用于森林消防方面的支出。</w:t>
      </w:r>
    </w:p>
    <w:p>
      <w:pPr>
        <w:spacing w:line="560" w:lineRule="exact"/>
        <w:ind w:firstLine="640" w:firstLineChars="200"/>
        <w:rPr>
          <w:rFonts w:ascii="仿宋" w:hAnsi="仿宋" w:eastAsia="仿宋" w:cs="仿宋"/>
          <w:color w:val="000000"/>
          <w:sz w:val="32"/>
          <w:szCs w:val="32"/>
        </w:rPr>
      </w:pPr>
      <w:r>
        <w:rPr>
          <w:rFonts w:hint="eastAsia" w:ascii="仿宋_GB2312" w:eastAsia="仿宋_GB2312"/>
          <w:color w:val="000000"/>
          <w:sz w:val="32"/>
          <w:szCs w:val="32"/>
        </w:rPr>
        <w:t>38.</w:t>
      </w:r>
      <w:r>
        <w:rPr>
          <w:rFonts w:hint="eastAsia" w:ascii="仿宋" w:hAnsi="仿宋" w:eastAsia="仿宋" w:cs="仿宋"/>
          <w:color w:val="000000"/>
          <w:sz w:val="32"/>
          <w:szCs w:val="32"/>
        </w:rPr>
        <w:t>应急防治及应急管理支出（类）224自然灾害救灾及恢复重建支出（款）07中央自然灾害生活补助（项）01：反映中央预算对遭受特大自然灾害地区的地方政府在安排受灾群众吃、穿、住和抢救、转移、安置、治病等经费发生困难时给予的专项补助，以及为抗御特大自然灾害而设立的中央级救灾物</w:t>
      </w:r>
      <w:r>
        <w:rPr>
          <w:rFonts w:hint="eastAsia" w:ascii="仿宋" w:hAnsi="仿宋" w:eastAsia="仿宋" w:cs="仿宋"/>
          <w:color w:val="000000"/>
          <w:sz w:val="32"/>
          <w:szCs w:val="32"/>
          <w:lang w:eastAsia="zh-CN"/>
        </w:rPr>
        <w:t>资</w:t>
      </w:r>
      <w:r>
        <w:rPr>
          <w:rFonts w:hint="eastAsia" w:ascii="仿宋" w:hAnsi="仿宋" w:eastAsia="仿宋" w:cs="仿宋"/>
          <w:color w:val="000000"/>
          <w:sz w:val="32"/>
          <w:szCs w:val="32"/>
        </w:rPr>
        <w:t>储备资金。</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39.应急防治及应急管理支出（类）224自然灾害救灾及恢复重建支出（款）07自然灾害救灾补助（项</w:t>
      </w:r>
      <w:bookmarkStart w:id="68" w:name="_GoBack"/>
      <w:bookmarkEnd w:id="68"/>
      <w:r>
        <w:rPr>
          <w:rFonts w:hint="eastAsia" w:ascii="仿宋" w:hAnsi="仿宋" w:eastAsia="仿宋" w:cs="仿宋"/>
          <w:color w:val="000000"/>
          <w:sz w:val="32"/>
          <w:szCs w:val="32"/>
        </w:rPr>
        <w:t>）03：反映洪水、地质灾害、台风等自然灾害救灾补助，扑救森林草原火灾补助。</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41.项目支出：指在基本支出之外为完成特定行政任务和事业发展目标所发生的支出。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42.经营支出：指事业单位在专业业务活动及其辅助活动之外开展非独立核算经营活动发生的支出。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320" w:firstLineChars="100"/>
        <w:rPr>
          <w:rFonts w:hint="eastAsia" w:ascii="仿宋_GB2312" w:eastAsia="仿宋_GB2312"/>
          <w:color w:val="000000"/>
          <w:sz w:val="32"/>
          <w:szCs w:val="32"/>
        </w:rPr>
      </w:pPr>
      <w:r>
        <w:rPr>
          <w:rFonts w:hint="eastAsia" w:ascii="仿宋_GB2312" w:eastAsia="仿宋_GB2312"/>
          <w:color w:val="000000"/>
          <w:sz w:val="32"/>
          <w:szCs w:val="32"/>
        </w:rPr>
        <w:t>（名词解释部分请根据各部门实际列支情况罗列，并根据本部门职责职能增减名词解释内容。）</w:t>
      </w:r>
    </w:p>
    <w:p>
      <w:pPr>
        <w:spacing w:line="560" w:lineRule="exact"/>
        <w:ind w:firstLine="320" w:firstLineChars="100"/>
        <w:rPr>
          <w:rFonts w:hint="eastAsia" w:ascii="仿宋_GB2312" w:eastAsia="仿宋_GB2312"/>
          <w:color w:val="000000"/>
          <w:sz w:val="32"/>
          <w:szCs w:val="32"/>
        </w:rPr>
      </w:pPr>
    </w:p>
    <w:bookmarkEnd w:id="40"/>
    <w:p>
      <w:pPr>
        <w:numPr>
          <w:ilvl w:val="0"/>
          <w:numId w:val="3"/>
        </w:numPr>
        <w:ind w:left="0" w:leftChars="0" w:firstLine="660" w:firstLineChars="150"/>
        <w:jc w:val="center"/>
        <w:rPr>
          <w:rStyle w:val="24"/>
          <w:rFonts w:hint="eastAsia" w:ascii="黑体" w:hAnsi="黑体" w:eastAsia="黑体"/>
          <w:b w:val="0"/>
        </w:rPr>
      </w:pPr>
      <w:bookmarkStart w:id="57" w:name="_Toc15396618"/>
      <w:r>
        <w:rPr>
          <w:rStyle w:val="24"/>
          <w:rFonts w:hint="eastAsia" w:ascii="黑体" w:hAnsi="黑体" w:eastAsia="黑体"/>
          <w:b w:val="0"/>
        </w:rPr>
        <w:t>附表</w:t>
      </w:r>
      <w:bookmarkEnd w:id="41"/>
      <w:bookmarkEnd w:id="57"/>
    </w:p>
    <w:p>
      <w:pPr>
        <w:numPr>
          <w:ilvl w:val="0"/>
          <w:numId w:val="0"/>
        </w:numPr>
        <w:ind w:leftChars="150"/>
        <w:jc w:val="both"/>
        <w:rPr>
          <w:rStyle w:val="24"/>
          <w:rFonts w:hint="eastAsia" w:ascii="黑体" w:hAnsi="黑体" w:eastAsia="黑体"/>
          <w:b w:val="0"/>
        </w:rPr>
      </w:pPr>
    </w:p>
    <w:p>
      <w:pPr>
        <w:spacing w:line="576" w:lineRule="exact"/>
        <w:outlineLvl w:val="0"/>
        <w:rPr>
          <w:rStyle w:val="25"/>
          <w:rFonts w:ascii="仿宋" w:hAnsi="仿宋" w:eastAsia="仿宋"/>
          <w:b w:val="0"/>
          <w:bCs w:val="0"/>
        </w:rPr>
      </w:pPr>
      <w:bookmarkStart w:id="58" w:name="_Toc15396619"/>
      <w:r>
        <w:rPr>
          <w:rFonts w:hint="eastAsia" w:ascii="仿宋" w:hAnsi="仿宋" w:eastAsia="仿宋"/>
          <w:color w:val="000000"/>
          <w:sz w:val="32"/>
          <w:szCs w:val="32"/>
        </w:rPr>
        <w:t>（一）收</w:t>
      </w:r>
      <w:r>
        <w:rPr>
          <w:rStyle w:val="25"/>
          <w:rFonts w:hint="eastAsia" w:ascii="仿宋" w:hAnsi="仿宋" w:eastAsia="仿宋"/>
          <w:b w:val="0"/>
          <w:bCs w:val="0"/>
        </w:rPr>
        <w:t>入支出决算总表</w:t>
      </w:r>
      <w:bookmarkEnd w:id="58"/>
      <w:bookmarkStart w:id="59" w:name="_Toc15396620"/>
    </w:p>
    <w:p>
      <w:pPr>
        <w:spacing w:line="576" w:lineRule="exact"/>
        <w:outlineLvl w:val="0"/>
        <w:rPr>
          <w:rStyle w:val="25"/>
          <w:rFonts w:ascii="仿宋" w:hAnsi="仿宋" w:eastAsia="仿宋"/>
          <w:b w:val="0"/>
          <w:bCs w:val="0"/>
        </w:rPr>
      </w:pPr>
      <w:r>
        <w:rPr>
          <w:rFonts w:hint="eastAsia" w:ascii="仿宋" w:hAnsi="仿宋" w:eastAsia="仿宋"/>
          <w:color w:val="000000"/>
          <w:sz w:val="32"/>
          <w:szCs w:val="32"/>
        </w:rPr>
        <w:t>（二）收</w:t>
      </w:r>
      <w:r>
        <w:rPr>
          <w:rStyle w:val="25"/>
          <w:rFonts w:hint="eastAsia" w:ascii="仿宋" w:hAnsi="仿宋" w:eastAsia="仿宋"/>
          <w:b w:val="0"/>
          <w:bCs w:val="0"/>
        </w:rPr>
        <w:t>入决算表</w:t>
      </w:r>
      <w:bookmarkEnd w:id="59"/>
      <w:bookmarkStart w:id="60" w:name="_Toc15396621"/>
    </w:p>
    <w:p>
      <w:pPr>
        <w:spacing w:line="576" w:lineRule="exact"/>
        <w:outlineLvl w:val="0"/>
        <w:rPr>
          <w:rStyle w:val="25"/>
          <w:rFonts w:ascii="仿宋" w:hAnsi="仿宋" w:eastAsia="仿宋"/>
          <w:b w:val="0"/>
          <w:bCs w:val="0"/>
        </w:rPr>
      </w:pPr>
      <w:r>
        <w:rPr>
          <w:rStyle w:val="25"/>
          <w:rFonts w:hint="eastAsia" w:ascii="仿宋" w:hAnsi="仿宋" w:eastAsia="仿宋"/>
          <w:b w:val="0"/>
          <w:bCs w:val="0"/>
        </w:rPr>
        <w:t>（三）</w:t>
      </w:r>
      <w:r>
        <w:rPr>
          <w:rFonts w:hint="eastAsia" w:ascii="仿宋" w:hAnsi="仿宋" w:eastAsia="仿宋"/>
          <w:color w:val="000000"/>
          <w:sz w:val="32"/>
          <w:szCs w:val="32"/>
        </w:rPr>
        <w:t>支</w:t>
      </w:r>
      <w:r>
        <w:rPr>
          <w:rStyle w:val="25"/>
          <w:rFonts w:hint="eastAsia" w:ascii="仿宋" w:hAnsi="仿宋" w:eastAsia="仿宋"/>
          <w:b w:val="0"/>
          <w:bCs w:val="0"/>
        </w:rPr>
        <w:t>出决算表</w:t>
      </w:r>
      <w:bookmarkEnd w:id="60"/>
      <w:bookmarkStart w:id="61" w:name="_Toc15396622"/>
    </w:p>
    <w:p>
      <w:pPr>
        <w:spacing w:line="576" w:lineRule="exact"/>
        <w:outlineLvl w:val="0"/>
        <w:rPr>
          <w:rStyle w:val="25"/>
          <w:rFonts w:ascii="仿宋" w:hAnsi="仿宋" w:eastAsia="仿宋"/>
          <w:b w:val="0"/>
          <w:bCs w:val="0"/>
        </w:rPr>
      </w:pPr>
      <w:r>
        <w:rPr>
          <w:rStyle w:val="25"/>
          <w:rFonts w:hint="eastAsia" w:ascii="仿宋" w:hAnsi="仿宋" w:eastAsia="仿宋"/>
          <w:b w:val="0"/>
          <w:bCs w:val="0"/>
        </w:rPr>
        <w:t>（四）</w:t>
      </w:r>
      <w:r>
        <w:rPr>
          <w:rFonts w:hint="eastAsia" w:ascii="仿宋" w:hAnsi="仿宋" w:eastAsia="仿宋"/>
          <w:color w:val="000000"/>
          <w:sz w:val="32"/>
          <w:szCs w:val="32"/>
        </w:rPr>
        <w:t>财</w:t>
      </w:r>
      <w:r>
        <w:rPr>
          <w:rStyle w:val="25"/>
          <w:rFonts w:hint="eastAsia" w:ascii="仿宋" w:hAnsi="仿宋" w:eastAsia="仿宋"/>
          <w:b w:val="0"/>
          <w:bCs w:val="0"/>
        </w:rPr>
        <w:t>政拨款收入决算总表</w:t>
      </w:r>
      <w:bookmarkEnd w:id="61"/>
      <w:bookmarkStart w:id="62" w:name="_Toc15396623"/>
    </w:p>
    <w:p>
      <w:pPr>
        <w:spacing w:line="576" w:lineRule="exact"/>
        <w:outlineLvl w:val="0"/>
        <w:rPr>
          <w:rStyle w:val="25"/>
          <w:rFonts w:ascii="仿宋" w:hAnsi="仿宋" w:eastAsia="仿宋"/>
          <w:b w:val="0"/>
          <w:bCs w:val="0"/>
        </w:rPr>
      </w:pPr>
      <w:r>
        <w:rPr>
          <w:rStyle w:val="25"/>
          <w:rFonts w:hint="eastAsia" w:ascii="仿宋" w:hAnsi="仿宋" w:eastAsia="仿宋"/>
          <w:b w:val="0"/>
          <w:bCs w:val="0"/>
        </w:rPr>
        <w:t>（五）</w:t>
      </w:r>
      <w:r>
        <w:rPr>
          <w:rFonts w:hint="eastAsia" w:ascii="仿宋" w:hAnsi="仿宋" w:eastAsia="仿宋"/>
          <w:color w:val="000000"/>
          <w:sz w:val="32"/>
          <w:szCs w:val="32"/>
        </w:rPr>
        <w:t>财</w:t>
      </w:r>
      <w:r>
        <w:rPr>
          <w:rStyle w:val="25"/>
          <w:rFonts w:hint="eastAsia" w:ascii="仿宋" w:hAnsi="仿宋" w:eastAsia="仿宋"/>
          <w:b w:val="0"/>
          <w:bCs w:val="0"/>
        </w:rPr>
        <w:t>政拨款支出决算明细表</w:t>
      </w:r>
      <w:bookmarkEnd w:id="62"/>
      <w:bookmarkStart w:id="63" w:name="_Toc15396624"/>
    </w:p>
    <w:p>
      <w:pPr>
        <w:spacing w:line="576" w:lineRule="exact"/>
        <w:outlineLvl w:val="0"/>
        <w:rPr>
          <w:rStyle w:val="25"/>
          <w:rFonts w:ascii="仿宋" w:hAnsi="仿宋" w:eastAsia="仿宋"/>
          <w:b w:val="0"/>
          <w:bCs w:val="0"/>
        </w:rPr>
      </w:pPr>
      <w:r>
        <w:rPr>
          <w:rStyle w:val="25"/>
          <w:rFonts w:hint="eastAsia" w:ascii="仿宋" w:hAnsi="仿宋" w:eastAsia="仿宋"/>
          <w:b w:val="0"/>
          <w:bCs w:val="0"/>
        </w:rPr>
        <w:t>（六）</w:t>
      </w:r>
      <w:r>
        <w:rPr>
          <w:rFonts w:hint="eastAsia" w:ascii="仿宋" w:hAnsi="仿宋" w:eastAsia="仿宋"/>
          <w:color w:val="000000"/>
        </w:rPr>
        <w:t>一</w:t>
      </w:r>
      <w:r>
        <w:rPr>
          <w:rStyle w:val="25"/>
          <w:rFonts w:hint="eastAsia" w:ascii="仿宋" w:hAnsi="仿宋" w:eastAsia="仿宋"/>
          <w:b w:val="0"/>
          <w:bCs w:val="0"/>
        </w:rPr>
        <w:t>般公共预算财政拨款支出决算表</w:t>
      </w:r>
      <w:bookmarkEnd w:id="63"/>
      <w:bookmarkStart w:id="64" w:name="_Toc15396625"/>
    </w:p>
    <w:p>
      <w:pPr>
        <w:spacing w:line="576" w:lineRule="exact"/>
        <w:outlineLvl w:val="0"/>
        <w:rPr>
          <w:rStyle w:val="25"/>
          <w:rFonts w:ascii="仿宋" w:hAnsi="仿宋" w:eastAsia="仿宋"/>
          <w:b w:val="0"/>
          <w:bCs w:val="0"/>
        </w:rPr>
      </w:pPr>
      <w:r>
        <w:rPr>
          <w:rStyle w:val="25"/>
          <w:rFonts w:hint="eastAsia" w:ascii="仿宋" w:hAnsi="仿宋" w:eastAsia="仿宋"/>
          <w:b w:val="0"/>
          <w:bCs w:val="0"/>
        </w:rPr>
        <w:t>（七）</w:t>
      </w:r>
      <w:r>
        <w:rPr>
          <w:rFonts w:hint="eastAsia" w:ascii="仿宋" w:hAnsi="仿宋" w:eastAsia="仿宋"/>
          <w:color w:val="000000"/>
        </w:rPr>
        <w:t>一</w:t>
      </w:r>
      <w:r>
        <w:rPr>
          <w:rStyle w:val="25"/>
          <w:rFonts w:hint="eastAsia" w:ascii="仿宋" w:hAnsi="仿宋" w:eastAsia="仿宋"/>
          <w:b w:val="0"/>
          <w:bCs w:val="0"/>
        </w:rPr>
        <w:t>般公共预算财政拨款支出决算明细表</w:t>
      </w:r>
      <w:bookmarkEnd w:id="64"/>
      <w:bookmarkStart w:id="65" w:name="_Toc15396626"/>
    </w:p>
    <w:p>
      <w:pPr>
        <w:spacing w:line="576" w:lineRule="exact"/>
        <w:outlineLvl w:val="0"/>
        <w:rPr>
          <w:rStyle w:val="25"/>
          <w:rFonts w:ascii="仿宋" w:hAnsi="仿宋" w:eastAsia="仿宋"/>
          <w:b w:val="0"/>
          <w:bCs w:val="0"/>
        </w:rPr>
      </w:pPr>
      <w:r>
        <w:rPr>
          <w:rStyle w:val="25"/>
          <w:rFonts w:hint="eastAsia" w:ascii="仿宋" w:hAnsi="仿宋" w:eastAsia="仿宋"/>
          <w:b w:val="0"/>
          <w:bCs w:val="0"/>
        </w:rPr>
        <w:t>（八）</w:t>
      </w:r>
      <w:r>
        <w:rPr>
          <w:rFonts w:hint="eastAsia" w:ascii="仿宋" w:hAnsi="仿宋" w:eastAsia="仿宋"/>
          <w:color w:val="000000"/>
        </w:rPr>
        <w:t>一</w:t>
      </w:r>
      <w:r>
        <w:rPr>
          <w:rStyle w:val="25"/>
          <w:rFonts w:hint="eastAsia" w:ascii="仿宋" w:hAnsi="仿宋" w:eastAsia="仿宋"/>
          <w:b w:val="0"/>
          <w:bCs w:val="0"/>
        </w:rPr>
        <w:t>般公共预算财政拨款基本支出决算表</w:t>
      </w:r>
      <w:bookmarkEnd w:id="65"/>
      <w:bookmarkStart w:id="66" w:name="_Toc15396627"/>
    </w:p>
    <w:p>
      <w:pPr>
        <w:spacing w:line="576" w:lineRule="exact"/>
        <w:outlineLvl w:val="0"/>
        <w:rPr>
          <w:rStyle w:val="25"/>
          <w:rFonts w:ascii="仿宋" w:hAnsi="仿宋" w:eastAsia="仿宋"/>
          <w:b w:val="0"/>
          <w:bCs w:val="0"/>
        </w:rPr>
      </w:pPr>
      <w:r>
        <w:rPr>
          <w:rStyle w:val="25"/>
          <w:rFonts w:hint="eastAsia" w:ascii="仿宋" w:hAnsi="仿宋" w:eastAsia="仿宋"/>
          <w:b w:val="0"/>
          <w:bCs w:val="0"/>
        </w:rPr>
        <w:t>（九）</w:t>
      </w:r>
      <w:r>
        <w:rPr>
          <w:rFonts w:hint="eastAsia" w:ascii="仿宋" w:hAnsi="仿宋" w:eastAsia="仿宋"/>
          <w:color w:val="000000"/>
        </w:rPr>
        <w:t>一</w:t>
      </w:r>
      <w:r>
        <w:rPr>
          <w:rStyle w:val="25"/>
          <w:rFonts w:hint="eastAsia" w:ascii="仿宋" w:hAnsi="仿宋" w:eastAsia="仿宋"/>
          <w:b w:val="0"/>
          <w:bCs w:val="0"/>
        </w:rPr>
        <w:t>般公共预算财政拨款项目支出决算表</w:t>
      </w:r>
      <w:bookmarkEnd w:id="66"/>
      <w:bookmarkStart w:id="67" w:name="_Toc15396628"/>
    </w:p>
    <w:p>
      <w:pPr>
        <w:spacing w:line="576" w:lineRule="exact"/>
        <w:outlineLvl w:val="0"/>
        <w:rPr>
          <w:rFonts w:ascii="仿宋" w:hAnsi="仿宋" w:eastAsia="仿宋"/>
          <w:color w:val="000000" w:themeColor="text1"/>
        </w:rPr>
      </w:pPr>
      <w:r>
        <w:rPr>
          <w:rStyle w:val="25"/>
          <w:rFonts w:hint="eastAsia" w:ascii="仿宋" w:hAnsi="仿宋" w:eastAsia="仿宋"/>
          <w:b w:val="0"/>
          <w:bCs w:val="0"/>
        </w:rPr>
        <w:t>（十）</w:t>
      </w:r>
      <w:r>
        <w:rPr>
          <w:rFonts w:hint="eastAsia" w:ascii="仿宋" w:hAnsi="仿宋" w:eastAsia="仿宋"/>
          <w:color w:val="000000"/>
        </w:rPr>
        <w:t>一</w:t>
      </w:r>
      <w:r>
        <w:rPr>
          <w:rStyle w:val="25"/>
          <w:rFonts w:hint="eastAsia" w:ascii="仿宋" w:hAnsi="仿宋" w:eastAsia="仿宋"/>
          <w:b w:val="0"/>
          <w:bCs w:val="0"/>
        </w:rPr>
        <w:t>般公共预算财政拨款“三公”经费支出决算表</w:t>
      </w:r>
      <w:bookmarkEnd w:id="6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0CCA8"/>
    <w:multiLevelType w:val="singleLevel"/>
    <w:tmpl w:val="80B0CCA8"/>
    <w:lvl w:ilvl="0" w:tentative="0">
      <w:start w:val="30"/>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DA1ZDFjYzIzNzBiM2Y4YmZmN2I0NDA3MzZhMzQifQ=="/>
  </w:docVars>
  <w:rsids>
    <w:rsidRoot w:val="00F1361C"/>
    <w:rsid w:val="000222C6"/>
    <w:rsid w:val="0002549F"/>
    <w:rsid w:val="0006487A"/>
    <w:rsid w:val="00065F8F"/>
    <w:rsid w:val="000768F2"/>
    <w:rsid w:val="0009184B"/>
    <w:rsid w:val="0009593C"/>
    <w:rsid w:val="000B047F"/>
    <w:rsid w:val="000B5923"/>
    <w:rsid w:val="000B5A48"/>
    <w:rsid w:val="000B6FF3"/>
    <w:rsid w:val="000B77E8"/>
    <w:rsid w:val="000C1E24"/>
    <w:rsid w:val="000C3467"/>
    <w:rsid w:val="000C3CA6"/>
    <w:rsid w:val="000D1267"/>
    <w:rsid w:val="000D1D50"/>
    <w:rsid w:val="000D5782"/>
    <w:rsid w:val="000E6613"/>
    <w:rsid w:val="000E7119"/>
    <w:rsid w:val="00114E9B"/>
    <w:rsid w:val="0014729F"/>
    <w:rsid w:val="00150C19"/>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C1652"/>
    <w:rsid w:val="002C6BFC"/>
    <w:rsid w:val="002F1818"/>
    <w:rsid w:val="002F567B"/>
    <w:rsid w:val="003216A9"/>
    <w:rsid w:val="0034519B"/>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896"/>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E1EFD"/>
    <w:rsid w:val="005F1A4C"/>
    <w:rsid w:val="005F3D9C"/>
    <w:rsid w:val="00605688"/>
    <w:rsid w:val="006070AF"/>
    <w:rsid w:val="00607E6C"/>
    <w:rsid w:val="006101B1"/>
    <w:rsid w:val="00614E44"/>
    <w:rsid w:val="00622830"/>
    <w:rsid w:val="00630AEF"/>
    <w:rsid w:val="006325F8"/>
    <w:rsid w:val="00634C9A"/>
    <w:rsid w:val="006440E4"/>
    <w:rsid w:val="0066343B"/>
    <w:rsid w:val="00664777"/>
    <w:rsid w:val="0067475F"/>
    <w:rsid w:val="006748A4"/>
    <w:rsid w:val="00683E73"/>
    <w:rsid w:val="00687188"/>
    <w:rsid w:val="006A3141"/>
    <w:rsid w:val="006A5E34"/>
    <w:rsid w:val="006B2422"/>
    <w:rsid w:val="006B2B9A"/>
    <w:rsid w:val="006C1937"/>
    <w:rsid w:val="006F020C"/>
    <w:rsid w:val="00702CDD"/>
    <w:rsid w:val="007127B7"/>
    <w:rsid w:val="00723C83"/>
    <w:rsid w:val="007354CF"/>
    <w:rsid w:val="007416B6"/>
    <w:rsid w:val="00746F48"/>
    <w:rsid w:val="0075404D"/>
    <w:rsid w:val="0076182A"/>
    <w:rsid w:val="00767B7E"/>
    <w:rsid w:val="007770C3"/>
    <w:rsid w:val="00784D24"/>
    <w:rsid w:val="00785FBA"/>
    <w:rsid w:val="00786E4A"/>
    <w:rsid w:val="007875EB"/>
    <w:rsid w:val="0079426B"/>
    <w:rsid w:val="007B0492"/>
    <w:rsid w:val="007D312A"/>
    <w:rsid w:val="007D3ACA"/>
    <w:rsid w:val="007D3F19"/>
    <w:rsid w:val="007E23B0"/>
    <w:rsid w:val="007F1991"/>
    <w:rsid w:val="007F2C2F"/>
    <w:rsid w:val="007F3B10"/>
    <w:rsid w:val="007F4998"/>
    <w:rsid w:val="007F55FC"/>
    <w:rsid w:val="007F5665"/>
    <w:rsid w:val="00800112"/>
    <w:rsid w:val="008253BB"/>
    <w:rsid w:val="0083706E"/>
    <w:rsid w:val="008423A5"/>
    <w:rsid w:val="00850625"/>
    <w:rsid w:val="00853718"/>
    <w:rsid w:val="00855221"/>
    <w:rsid w:val="00860645"/>
    <w:rsid w:val="00871F71"/>
    <w:rsid w:val="00885AF4"/>
    <w:rsid w:val="008939CD"/>
    <w:rsid w:val="00896995"/>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A053B"/>
    <w:rsid w:val="009B2C43"/>
    <w:rsid w:val="009B4EAE"/>
    <w:rsid w:val="009B7573"/>
    <w:rsid w:val="009C22F4"/>
    <w:rsid w:val="009C2E98"/>
    <w:rsid w:val="009D3447"/>
    <w:rsid w:val="009D4711"/>
    <w:rsid w:val="009F1185"/>
    <w:rsid w:val="009F18CD"/>
    <w:rsid w:val="009F2A13"/>
    <w:rsid w:val="00A04EB0"/>
    <w:rsid w:val="00A104A4"/>
    <w:rsid w:val="00A13CC1"/>
    <w:rsid w:val="00A16847"/>
    <w:rsid w:val="00A22274"/>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D4D96"/>
    <w:rsid w:val="00BF5BD6"/>
    <w:rsid w:val="00C03E31"/>
    <w:rsid w:val="00C33E72"/>
    <w:rsid w:val="00C354B2"/>
    <w:rsid w:val="00C35554"/>
    <w:rsid w:val="00C42709"/>
    <w:rsid w:val="00C533CC"/>
    <w:rsid w:val="00C5751C"/>
    <w:rsid w:val="00C61BFC"/>
    <w:rsid w:val="00C62B85"/>
    <w:rsid w:val="00C65438"/>
    <w:rsid w:val="00C91CBB"/>
    <w:rsid w:val="00CA5B07"/>
    <w:rsid w:val="00CC09B6"/>
    <w:rsid w:val="00CC5A6F"/>
    <w:rsid w:val="00CC666F"/>
    <w:rsid w:val="00CD1E3F"/>
    <w:rsid w:val="00CE44F6"/>
    <w:rsid w:val="00CE49DA"/>
    <w:rsid w:val="00CE7B61"/>
    <w:rsid w:val="00D00095"/>
    <w:rsid w:val="00D20620"/>
    <w:rsid w:val="00D2480C"/>
    <w:rsid w:val="00D26091"/>
    <w:rsid w:val="00D26604"/>
    <w:rsid w:val="00D34E7C"/>
    <w:rsid w:val="00D35489"/>
    <w:rsid w:val="00D51276"/>
    <w:rsid w:val="00D7035F"/>
    <w:rsid w:val="00D91AAD"/>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C47C1"/>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1FF5"/>
    <w:rsid w:val="00FF30B4"/>
    <w:rsid w:val="024844D3"/>
    <w:rsid w:val="028C32B9"/>
    <w:rsid w:val="029D5E4A"/>
    <w:rsid w:val="02A013AD"/>
    <w:rsid w:val="02A525B5"/>
    <w:rsid w:val="02C43C07"/>
    <w:rsid w:val="03003D44"/>
    <w:rsid w:val="0339144A"/>
    <w:rsid w:val="036F55A4"/>
    <w:rsid w:val="04392DC4"/>
    <w:rsid w:val="048954C3"/>
    <w:rsid w:val="04CE2285"/>
    <w:rsid w:val="050B3C72"/>
    <w:rsid w:val="052218ED"/>
    <w:rsid w:val="0538559F"/>
    <w:rsid w:val="05465318"/>
    <w:rsid w:val="054C2F23"/>
    <w:rsid w:val="06074DCE"/>
    <w:rsid w:val="06E86441"/>
    <w:rsid w:val="07444F01"/>
    <w:rsid w:val="076247B3"/>
    <w:rsid w:val="08277AFB"/>
    <w:rsid w:val="088123BC"/>
    <w:rsid w:val="08B53317"/>
    <w:rsid w:val="08E5671C"/>
    <w:rsid w:val="096C12A0"/>
    <w:rsid w:val="0A7C0DB9"/>
    <w:rsid w:val="0ACD6F97"/>
    <w:rsid w:val="0AE13E40"/>
    <w:rsid w:val="0B501B2C"/>
    <w:rsid w:val="0B7D063C"/>
    <w:rsid w:val="0B822F6D"/>
    <w:rsid w:val="0BA5473A"/>
    <w:rsid w:val="0BF23912"/>
    <w:rsid w:val="0C183ED4"/>
    <w:rsid w:val="0D1E1CC4"/>
    <w:rsid w:val="0D8325B9"/>
    <w:rsid w:val="0F084B85"/>
    <w:rsid w:val="0F4B0A3D"/>
    <w:rsid w:val="0F881734"/>
    <w:rsid w:val="0F8B4939"/>
    <w:rsid w:val="0FAD6197"/>
    <w:rsid w:val="1000243B"/>
    <w:rsid w:val="10361C2E"/>
    <w:rsid w:val="10C055FF"/>
    <w:rsid w:val="11373EB5"/>
    <w:rsid w:val="117B55D5"/>
    <w:rsid w:val="11B55940"/>
    <w:rsid w:val="12951554"/>
    <w:rsid w:val="12E70E7A"/>
    <w:rsid w:val="130A1B4A"/>
    <w:rsid w:val="130C6EE9"/>
    <w:rsid w:val="136C1233"/>
    <w:rsid w:val="144A04C4"/>
    <w:rsid w:val="15FC43FA"/>
    <w:rsid w:val="16BB723D"/>
    <w:rsid w:val="16FA3F8E"/>
    <w:rsid w:val="174C6B9D"/>
    <w:rsid w:val="17BF59D6"/>
    <w:rsid w:val="18AB6310"/>
    <w:rsid w:val="197C2DA8"/>
    <w:rsid w:val="198A59E1"/>
    <w:rsid w:val="1A70698F"/>
    <w:rsid w:val="1A771272"/>
    <w:rsid w:val="1A7A123A"/>
    <w:rsid w:val="1AB64D5A"/>
    <w:rsid w:val="1AE311A6"/>
    <w:rsid w:val="1B6A6D51"/>
    <w:rsid w:val="1B7B1482"/>
    <w:rsid w:val="1B826B15"/>
    <w:rsid w:val="1B9D7027"/>
    <w:rsid w:val="1BBE63B9"/>
    <w:rsid w:val="1C6B43E2"/>
    <w:rsid w:val="1C6D5A51"/>
    <w:rsid w:val="1D2D6BAE"/>
    <w:rsid w:val="1D5245BD"/>
    <w:rsid w:val="1DDC57DF"/>
    <w:rsid w:val="1E21410D"/>
    <w:rsid w:val="1EE822A6"/>
    <w:rsid w:val="1F6D766D"/>
    <w:rsid w:val="1F8C2B7A"/>
    <w:rsid w:val="1FEF1A65"/>
    <w:rsid w:val="200553A0"/>
    <w:rsid w:val="21AF308E"/>
    <w:rsid w:val="21EE48A0"/>
    <w:rsid w:val="22731CE3"/>
    <w:rsid w:val="23090981"/>
    <w:rsid w:val="23582C3B"/>
    <w:rsid w:val="23F53E97"/>
    <w:rsid w:val="240371BF"/>
    <w:rsid w:val="24BB1740"/>
    <w:rsid w:val="255A5E8E"/>
    <w:rsid w:val="26BC1449"/>
    <w:rsid w:val="26C842FD"/>
    <w:rsid w:val="273B4847"/>
    <w:rsid w:val="27A95D08"/>
    <w:rsid w:val="27AC5DDB"/>
    <w:rsid w:val="27DA07AF"/>
    <w:rsid w:val="29ED6E72"/>
    <w:rsid w:val="29FD04D3"/>
    <w:rsid w:val="2A151E6F"/>
    <w:rsid w:val="2A700D4A"/>
    <w:rsid w:val="2AA9766D"/>
    <w:rsid w:val="2AD27593"/>
    <w:rsid w:val="2B0E1DF5"/>
    <w:rsid w:val="2B1E17F6"/>
    <w:rsid w:val="2B516C59"/>
    <w:rsid w:val="2B564D22"/>
    <w:rsid w:val="2BAF7B4C"/>
    <w:rsid w:val="2BC35F25"/>
    <w:rsid w:val="2C4C5990"/>
    <w:rsid w:val="2CAC7D15"/>
    <w:rsid w:val="2CD803F9"/>
    <w:rsid w:val="2D1D77EB"/>
    <w:rsid w:val="2D7F0793"/>
    <w:rsid w:val="2DF27F5C"/>
    <w:rsid w:val="2E2915F8"/>
    <w:rsid w:val="2E3D1589"/>
    <w:rsid w:val="2EDD6F65"/>
    <w:rsid w:val="2EF657CB"/>
    <w:rsid w:val="2F163230"/>
    <w:rsid w:val="2FB46A43"/>
    <w:rsid w:val="2FC937E5"/>
    <w:rsid w:val="319F7F4E"/>
    <w:rsid w:val="32003E44"/>
    <w:rsid w:val="32DA63F2"/>
    <w:rsid w:val="336D0FB0"/>
    <w:rsid w:val="33FB0F1C"/>
    <w:rsid w:val="34BC6927"/>
    <w:rsid w:val="357560F6"/>
    <w:rsid w:val="35865A1D"/>
    <w:rsid w:val="35DD697F"/>
    <w:rsid w:val="35FB7531"/>
    <w:rsid w:val="369A770C"/>
    <w:rsid w:val="369C3994"/>
    <w:rsid w:val="36D67098"/>
    <w:rsid w:val="370E6B2C"/>
    <w:rsid w:val="377558A0"/>
    <w:rsid w:val="381C4B52"/>
    <w:rsid w:val="38F005B3"/>
    <w:rsid w:val="391006E0"/>
    <w:rsid w:val="39921A8C"/>
    <w:rsid w:val="39DE3614"/>
    <w:rsid w:val="3A0E52AD"/>
    <w:rsid w:val="3A5F0CE4"/>
    <w:rsid w:val="3BCF3E23"/>
    <w:rsid w:val="3C15191E"/>
    <w:rsid w:val="3C1C4FF1"/>
    <w:rsid w:val="3C37431D"/>
    <w:rsid w:val="3CD067C5"/>
    <w:rsid w:val="3D656C43"/>
    <w:rsid w:val="3E2D4199"/>
    <w:rsid w:val="3F52200B"/>
    <w:rsid w:val="3FE41F8F"/>
    <w:rsid w:val="40521A4A"/>
    <w:rsid w:val="40596CCB"/>
    <w:rsid w:val="40796C04"/>
    <w:rsid w:val="40C25D38"/>
    <w:rsid w:val="41BC62BB"/>
    <w:rsid w:val="41D862B5"/>
    <w:rsid w:val="421872C6"/>
    <w:rsid w:val="42FD12CD"/>
    <w:rsid w:val="430C7012"/>
    <w:rsid w:val="441845A1"/>
    <w:rsid w:val="447B5916"/>
    <w:rsid w:val="4481748B"/>
    <w:rsid w:val="44A539E5"/>
    <w:rsid w:val="45840881"/>
    <w:rsid w:val="45934383"/>
    <w:rsid w:val="459A2095"/>
    <w:rsid w:val="46386D6D"/>
    <w:rsid w:val="46656DE1"/>
    <w:rsid w:val="46A32CC6"/>
    <w:rsid w:val="46D51C04"/>
    <w:rsid w:val="46FA4D01"/>
    <w:rsid w:val="47095E6B"/>
    <w:rsid w:val="471E1217"/>
    <w:rsid w:val="47F85E28"/>
    <w:rsid w:val="48881CFF"/>
    <w:rsid w:val="48A41A00"/>
    <w:rsid w:val="4933702B"/>
    <w:rsid w:val="494B4036"/>
    <w:rsid w:val="4952019F"/>
    <w:rsid w:val="49675142"/>
    <w:rsid w:val="49BE5098"/>
    <w:rsid w:val="4A077BAA"/>
    <w:rsid w:val="4A9812B6"/>
    <w:rsid w:val="4ABC2A91"/>
    <w:rsid w:val="4B360008"/>
    <w:rsid w:val="4B383AED"/>
    <w:rsid w:val="4B3E6ADB"/>
    <w:rsid w:val="4BC55043"/>
    <w:rsid w:val="4BD3792A"/>
    <w:rsid w:val="4BD66BC5"/>
    <w:rsid w:val="4C4220AC"/>
    <w:rsid w:val="4DA20AE7"/>
    <w:rsid w:val="4DB66FD8"/>
    <w:rsid w:val="4DB80259"/>
    <w:rsid w:val="4E7E3E6F"/>
    <w:rsid w:val="4EA6549A"/>
    <w:rsid w:val="4EB149F9"/>
    <w:rsid w:val="4ED9400F"/>
    <w:rsid w:val="4F4D0150"/>
    <w:rsid w:val="4F9967A9"/>
    <w:rsid w:val="4FDA311B"/>
    <w:rsid w:val="50060DB2"/>
    <w:rsid w:val="50105912"/>
    <w:rsid w:val="508E5422"/>
    <w:rsid w:val="50D33A75"/>
    <w:rsid w:val="50F530C5"/>
    <w:rsid w:val="50FF2B5F"/>
    <w:rsid w:val="514C00AE"/>
    <w:rsid w:val="51A4422C"/>
    <w:rsid w:val="528D23F1"/>
    <w:rsid w:val="53095174"/>
    <w:rsid w:val="54453179"/>
    <w:rsid w:val="54587BAA"/>
    <w:rsid w:val="56172B6C"/>
    <w:rsid w:val="57733D74"/>
    <w:rsid w:val="579256DE"/>
    <w:rsid w:val="57B04C27"/>
    <w:rsid w:val="58450E96"/>
    <w:rsid w:val="587737E4"/>
    <w:rsid w:val="590E3F6D"/>
    <w:rsid w:val="59C37844"/>
    <w:rsid w:val="5A061D4A"/>
    <w:rsid w:val="5A283DEB"/>
    <w:rsid w:val="5B1A60BF"/>
    <w:rsid w:val="5B3232D1"/>
    <w:rsid w:val="5B3E04B7"/>
    <w:rsid w:val="5BA93853"/>
    <w:rsid w:val="5BD15E16"/>
    <w:rsid w:val="5C1F16C1"/>
    <w:rsid w:val="5C22573A"/>
    <w:rsid w:val="5C2C204E"/>
    <w:rsid w:val="5CB24555"/>
    <w:rsid w:val="5CE515D5"/>
    <w:rsid w:val="5CF3782D"/>
    <w:rsid w:val="5D303EF2"/>
    <w:rsid w:val="5D4A69BE"/>
    <w:rsid w:val="5D6966C8"/>
    <w:rsid w:val="5D940129"/>
    <w:rsid w:val="5DFB4BC3"/>
    <w:rsid w:val="5EA33B48"/>
    <w:rsid w:val="5F155694"/>
    <w:rsid w:val="5F66544B"/>
    <w:rsid w:val="5FA73368"/>
    <w:rsid w:val="609A33D6"/>
    <w:rsid w:val="60AC5004"/>
    <w:rsid w:val="60ED190C"/>
    <w:rsid w:val="613D4954"/>
    <w:rsid w:val="633759C1"/>
    <w:rsid w:val="63922319"/>
    <w:rsid w:val="63BE568F"/>
    <w:rsid w:val="647536DC"/>
    <w:rsid w:val="64811680"/>
    <w:rsid w:val="64BE1650"/>
    <w:rsid w:val="64D14EB5"/>
    <w:rsid w:val="64D63CC8"/>
    <w:rsid w:val="651879B5"/>
    <w:rsid w:val="65605505"/>
    <w:rsid w:val="659E2D0B"/>
    <w:rsid w:val="65D94B9C"/>
    <w:rsid w:val="67586DCC"/>
    <w:rsid w:val="67D16010"/>
    <w:rsid w:val="686A1191"/>
    <w:rsid w:val="68701820"/>
    <w:rsid w:val="68EE6175"/>
    <w:rsid w:val="694419FB"/>
    <w:rsid w:val="696B0489"/>
    <w:rsid w:val="69A612F8"/>
    <w:rsid w:val="69A93C2D"/>
    <w:rsid w:val="69C26DD5"/>
    <w:rsid w:val="69DC751C"/>
    <w:rsid w:val="6A2929EE"/>
    <w:rsid w:val="6A312BAB"/>
    <w:rsid w:val="6A5941E2"/>
    <w:rsid w:val="6A7734B3"/>
    <w:rsid w:val="6ACA6FA6"/>
    <w:rsid w:val="6AFA39A6"/>
    <w:rsid w:val="6BCF76E9"/>
    <w:rsid w:val="6C065CE9"/>
    <w:rsid w:val="6C954BE3"/>
    <w:rsid w:val="6C9B346F"/>
    <w:rsid w:val="6CA577FA"/>
    <w:rsid w:val="6CD9029E"/>
    <w:rsid w:val="6D2F6660"/>
    <w:rsid w:val="6D671B96"/>
    <w:rsid w:val="6D92786D"/>
    <w:rsid w:val="6D954223"/>
    <w:rsid w:val="6DF4307D"/>
    <w:rsid w:val="6E04137F"/>
    <w:rsid w:val="6E9A3760"/>
    <w:rsid w:val="6F4C2A63"/>
    <w:rsid w:val="6F625138"/>
    <w:rsid w:val="6F7B773E"/>
    <w:rsid w:val="71073567"/>
    <w:rsid w:val="713C047C"/>
    <w:rsid w:val="72FD6D02"/>
    <w:rsid w:val="734A7044"/>
    <w:rsid w:val="735B254A"/>
    <w:rsid w:val="735C53BC"/>
    <w:rsid w:val="73F44539"/>
    <w:rsid w:val="746A095D"/>
    <w:rsid w:val="74CC3760"/>
    <w:rsid w:val="75054EB3"/>
    <w:rsid w:val="75905BD5"/>
    <w:rsid w:val="75F96313"/>
    <w:rsid w:val="76466E40"/>
    <w:rsid w:val="77563451"/>
    <w:rsid w:val="77572F33"/>
    <w:rsid w:val="77D118CB"/>
    <w:rsid w:val="77F84860"/>
    <w:rsid w:val="78053151"/>
    <w:rsid w:val="780E1F0B"/>
    <w:rsid w:val="781610E3"/>
    <w:rsid w:val="78BC19C8"/>
    <w:rsid w:val="796E0AC7"/>
    <w:rsid w:val="7973319C"/>
    <w:rsid w:val="798A03EF"/>
    <w:rsid w:val="79D2733F"/>
    <w:rsid w:val="7A13104D"/>
    <w:rsid w:val="7A79441B"/>
    <w:rsid w:val="7A7C1F9C"/>
    <w:rsid w:val="7A942289"/>
    <w:rsid w:val="7AB4629A"/>
    <w:rsid w:val="7C0323F9"/>
    <w:rsid w:val="7C35703A"/>
    <w:rsid w:val="7C49793F"/>
    <w:rsid w:val="7D6301FA"/>
    <w:rsid w:val="7DFF539C"/>
    <w:rsid w:val="7E166D60"/>
    <w:rsid w:val="7E2726BE"/>
    <w:rsid w:val="7E8D1EAE"/>
    <w:rsid w:val="7E9B6E01"/>
    <w:rsid w:val="B3AFBF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10398</Words>
  <Characters>2449</Characters>
  <Lines>20</Lines>
  <Paragraphs>25</Paragraphs>
  <TotalTime>2</TotalTime>
  <ScaleCrop>false</ScaleCrop>
  <LinksUpToDate>false</LinksUpToDate>
  <CharactersWithSpaces>12822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2022-09-28T09:38:00Z</cp:lastPrinted>
  <dcterms:modified xsi:type="dcterms:W3CDTF">2025-01-08T10:56:12Z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C9CDA19827E145C1B2EC9D86014BDF75</vt:lpwstr>
  </property>
</Properties>
</file>