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outlineLvl w:val="0"/>
        <w:rPr>
          <w:rFonts w:ascii="方正小标宋简体" w:hAnsi="宋体" w:eastAsia="方正小标宋简体"/>
          <w:sz w:val="72"/>
          <w:szCs w:val="72"/>
        </w:rPr>
      </w:pPr>
      <w:bookmarkStart w:id="0" w:name="_Toc15396597"/>
      <w:bookmarkStart w:id="1" w:name="_Toc15396475"/>
      <w:bookmarkStart w:id="2" w:name="_Toc15377193"/>
      <w:bookmarkStart w:id="3" w:name="_Toc15378441"/>
      <w:bookmarkStart w:id="4" w:name="_Toc15377425"/>
      <w:bookmarkStart w:id="5" w:name="_Toc15306267"/>
    </w:p>
    <w:p>
      <w:pPr>
        <w:spacing w:line="576" w:lineRule="exact"/>
        <w:outlineLvl w:val="0"/>
        <w:rPr>
          <w:rFonts w:ascii="方正小标宋简体" w:hAnsi="宋体" w:eastAsia="方正小标宋简体"/>
          <w:sz w:val="72"/>
          <w:szCs w:val="72"/>
        </w:rPr>
      </w:pPr>
    </w:p>
    <w:p>
      <w:pPr>
        <w:spacing w:line="576" w:lineRule="exact"/>
        <w:outlineLvl w:val="0"/>
        <w:rPr>
          <w:rFonts w:ascii="方正小标宋简体" w:hAnsi="宋体" w:eastAsia="方正小标宋简体"/>
          <w:sz w:val="72"/>
          <w:szCs w:val="72"/>
        </w:rPr>
      </w:pPr>
    </w:p>
    <w:p>
      <w:pPr>
        <w:spacing w:line="576" w:lineRule="exact"/>
        <w:outlineLvl w:val="0"/>
        <w:rPr>
          <w:rFonts w:ascii="方正小标宋简体" w:hAnsi="宋体" w:eastAsia="方正小标宋简体"/>
          <w:sz w:val="72"/>
          <w:szCs w:val="72"/>
        </w:rPr>
      </w:pPr>
    </w:p>
    <w:p>
      <w:pPr>
        <w:adjustRightInd w:val="0"/>
        <w:snapToGrid w:val="0"/>
        <w:spacing w:line="1400" w:lineRule="exact"/>
        <w:jc w:val="center"/>
        <w:outlineLvl w:val="0"/>
        <w:rPr>
          <w:rFonts w:ascii="方正小标宋简体" w:hAnsi="方正小标宋简体" w:eastAsia="方正小标宋简体" w:cs="方正小标宋简体"/>
          <w:sz w:val="72"/>
          <w:szCs w:val="72"/>
        </w:rPr>
      </w:pPr>
      <w:bookmarkStart w:id="6" w:name="_Toc1049660618"/>
      <w:bookmarkStart w:id="7" w:name="_Toc225771874"/>
      <w:bookmarkStart w:id="8" w:name="_Toc1330630115"/>
      <w:bookmarkStart w:id="9" w:name="_Toc1915271488"/>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2</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bookmarkEnd w:id="6"/>
      <w:bookmarkEnd w:id="7"/>
      <w:bookmarkEnd w:id="8"/>
      <w:bookmarkEnd w:id="9"/>
    </w:p>
    <w:p>
      <w:pPr>
        <w:adjustRightInd w:val="0"/>
        <w:snapToGrid w:val="0"/>
        <w:spacing w:line="1200" w:lineRule="exact"/>
        <w:jc w:val="center"/>
        <w:outlineLvl w:val="0"/>
        <w:rPr>
          <w:rFonts w:ascii="方正小标宋简体" w:hAnsi="方正小标宋简体" w:eastAsia="方正小标宋简体" w:cs="方正小标宋简体"/>
          <w:sz w:val="72"/>
          <w:szCs w:val="72"/>
        </w:rPr>
      </w:pPr>
      <w:bookmarkStart w:id="10" w:name="_Toc1182075495"/>
      <w:bookmarkStart w:id="11" w:name="_Toc1547429999"/>
      <w:bookmarkStart w:id="12" w:name="_Toc449371683"/>
      <w:bookmarkStart w:id="13" w:name="_Toc357973904"/>
      <w:bookmarkStart w:id="14" w:name="_Toc15378442"/>
      <w:bookmarkStart w:id="15" w:name="_Toc15396476"/>
      <w:bookmarkStart w:id="16" w:name="_Toc15377194"/>
      <w:bookmarkStart w:id="17" w:name="_Toc15396598"/>
      <w:bookmarkStart w:id="18" w:name="_Toc15377426"/>
      <w:r>
        <w:rPr>
          <w:rFonts w:hint="eastAsia" w:ascii="方正小标宋简体" w:hAnsi="方正小标宋简体" w:eastAsia="方正小标宋简体" w:cs="方正小标宋简体"/>
          <w:sz w:val="72"/>
          <w:szCs w:val="72"/>
        </w:rPr>
        <w:t>广元</w:t>
      </w:r>
      <w:bookmarkEnd w:id="5"/>
      <w:bookmarkStart w:id="19" w:name="_Toc15306268"/>
      <w:r>
        <w:rPr>
          <w:rFonts w:hint="eastAsia" w:ascii="方正小标宋简体" w:hAnsi="方正小标宋简体" w:eastAsia="方正小标宋简体" w:cs="方正小标宋简体"/>
          <w:sz w:val="72"/>
          <w:szCs w:val="72"/>
        </w:rPr>
        <w:t>经济技术开发区</w:t>
      </w:r>
      <w:bookmarkEnd w:id="10"/>
      <w:bookmarkEnd w:id="11"/>
      <w:bookmarkEnd w:id="12"/>
      <w:bookmarkEnd w:id="13"/>
    </w:p>
    <w:p>
      <w:pPr>
        <w:adjustRightInd w:val="0"/>
        <w:snapToGrid w:val="0"/>
        <w:spacing w:line="1200" w:lineRule="exact"/>
        <w:jc w:val="center"/>
        <w:outlineLvl w:val="0"/>
        <w:rPr>
          <w:rFonts w:ascii="方正小标宋简体" w:hAnsi="方正小标宋简体" w:eastAsia="方正小标宋简体" w:cs="方正小标宋简体"/>
          <w:sz w:val="72"/>
          <w:szCs w:val="72"/>
        </w:rPr>
      </w:pPr>
      <w:bookmarkStart w:id="20" w:name="_Toc1123120978"/>
      <w:bookmarkStart w:id="21" w:name="_Toc1683545584"/>
      <w:bookmarkStart w:id="22" w:name="_Toc1770861008"/>
      <w:bookmarkStart w:id="23" w:name="_Toc2069131807"/>
      <w:r>
        <w:rPr>
          <w:rFonts w:hint="eastAsia" w:ascii="方正小标宋简体" w:hAnsi="方正小标宋简体" w:eastAsia="方正小标宋简体" w:cs="方正小标宋简体"/>
          <w:sz w:val="72"/>
          <w:szCs w:val="72"/>
        </w:rPr>
        <w:t>石龙办事处</w:t>
      </w:r>
      <w:r>
        <w:rPr>
          <w:rFonts w:hint="eastAsia" w:ascii="方正小标宋简体" w:hAnsi="方正小标宋简体" w:eastAsia="方正小标宋简体" w:cs="方正小标宋简体"/>
          <w:sz w:val="72"/>
          <w:szCs w:val="72"/>
          <w:lang w:val="en-US" w:eastAsia="zh-CN"/>
        </w:rPr>
        <w:t>单位</w:t>
      </w:r>
      <w:r>
        <w:rPr>
          <w:rFonts w:hint="eastAsia" w:ascii="方正小标宋简体" w:hAnsi="方正小标宋简体" w:eastAsia="方正小标宋简体" w:cs="方正小标宋简体"/>
          <w:sz w:val="72"/>
          <w:szCs w:val="72"/>
        </w:rPr>
        <w:t>决算</w:t>
      </w:r>
      <w:bookmarkEnd w:id="14"/>
      <w:bookmarkEnd w:id="15"/>
      <w:bookmarkEnd w:id="16"/>
      <w:bookmarkEnd w:id="17"/>
      <w:bookmarkEnd w:id="18"/>
      <w:bookmarkEnd w:id="19"/>
      <w:bookmarkEnd w:id="20"/>
      <w:bookmarkEnd w:id="21"/>
      <w:bookmarkEnd w:id="22"/>
      <w:bookmarkEnd w:id="23"/>
    </w:p>
    <w:p>
      <w:pPr>
        <w:pStyle w:val="2"/>
        <w:spacing w:before="93"/>
        <w:rPr>
          <w:rFonts w:eastAsia="方正小标宋简体"/>
        </w:rPr>
      </w:pPr>
      <w:r>
        <w:rPr>
          <w:rFonts w:hint="eastAsia" w:ascii="方正小标宋简体" w:hAnsi="方正小标宋简体" w:eastAsia="方正小标宋简体" w:cs="方正小标宋简体"/>
          <w:sz w:val="72"/>
          <w:szCs w:val="72"/>
        </w:rPr>
        <w:t xml:space="preserve">        编制说明</w:t>
      </w:r>
    </w:p>
    <w:p>
      <w:pPr>
        <w:widowControl/>
        <w:spacing w:line="1400" w:lineRule="exact"/>
        <w:jc w:val="center"/>
        <w:rPr>
          <w:rFonts w:hint="eastAsia" w:ascii="黑体" w:hAnsi="黑体" w:eastAsia="黑体"/>
          <w:sz w:val="48"/>
          <w:szCs w:val="48"/>
        </w:rPr>
        <w:sectPr>
          <w:footerReference r:id="rId4" w:type="first"/>
          <w:headerReference r:id="rId3" w:type="default"/>
          <w:pgSz w:w="11906" w:h="16838"/>
          <w:pgMar w:top="1440" w:right="1800" w:bottom="1440" w:left="1800" w:header="851" w:footer="992" w:gutter="0"/>
          <w:pgNumType w:fmt="decimal" w:start="1"/>
          <w:cols w:space="425" w:num="1"/>
          <w:titlePg/>
          <w:docGrid w:type="lines" w:linePitch="312" w:charSpace="0"/>
        </w:sectPr>
      </w:pPr>
    </w:p>
    <w:p>
      <w:pPr>
        <w:widowControl/>
        <w:spacing w:line="1400" w:lineRule="exact"/>
        <w:jc w:val="center"/>
        <w:rPr>
          <w:rFonts w:ascii="黑体" w:hAnsi="黑体" w:eastAsia="黑体" w:cstheme="minorBidi"/>
          <w:sz w:val="28"/>
          <w:szCs w:val="28"/>
        </w:rPr>
      </w:pPr>
      <w:r>
        <w:rPr>
          <w:rFonts w:hint="eastAsia" w:ascii="黑体" w:hAnsi="黑体" w:eastAsia="黑体"/>
          <w:sz w:val="48"/>
          <w:szCs w:val="48"/>
        </w:rPr>
        <w:t>目</w:t>
      </w:r>
      <w:r>
        <w:rPr>
          <w:rFonts w:hint="eastAsia" w:ascii="黑体" w:hAnsi="黑体" w:eastAsia="黑体"/>
          <w:sz w:val="48"/>
          <w:szCs w:val="48"/>
          <w:lang w:val="en-US" w:eastAsia="zh-CN"/>
        </w:rPr>
        <w:t xml:space="preserve">     </w:t>
      </w:r>
      <w:r>
        <w:rPr>
          <w:rFonts w:hint="eastAsia" w:ascii="黑体" w:hAnsi="黑体" w:eastAsia="黑体"/>
          <w:sz w:val="48"/>
          <w:szCs w:val="48"/>
        </w:rPr>
        <w:t>录</w:t>
      </w:r>
    </w:p>
    <w:p>
      <w:pPr>
        <w:pStyle w:val="12"/>
        <w:spacing w:line="576" w:lineRule="exact"/>
        <w:rPr>
          <w:rFonts w:hint="eastAsia"/>
        </w:rPr>
      </w:pPr>
      <w:r>
        <w:rPr>
          <w:rFonts w:hint="eastAsia"/>
        </w:rPr>
        <w:t>公开时间：202</w:t>
      </w:r>
      <w:r>
        <w:rPr>
          <w:rFonts w:hint="eastAsia"/>
          <w:lang w:val="en-US" w:eastAsia="zh-CN"/>
        </w:rPr>
        <w:t>3</w:t>
      </w:r>
      <w:r>
        <w:rPr>
          <w:rFonts w:hint="eastAsia"/>
        </w:rPr>
        <w:t>年</w:t>
      </w:r>
      <w:r>
        <w:rPr>
          <w:rFonts w:hint="default"/>
        </w:rPr>
        <w:t>10</w:t>
      </w:r>
      <w:r>
        <w:rPr>
          <w:rFonts w:hint="eastAsia"/>
        </w:rPr>
        <w:t>月</w:t>
      </w:r>
      <w:r>
        <w:rPr>
          <w:rFonts w:hint="default"/>
        </w:rPr>
        <w:t>7</w:t>
      </w:r>
      <w:r>
        <w:rPr>
          <w:rFonts w:hint="eastAsia"/>
        </w:rPr>
        <w:t>日</w:t>
      </w:r>
    </w:p>
    <w:p/>
    <w:p/>
    <w:p>
      <w:pPr>
        <w:pStyle w:val="13"/>
        <w:tabs>
          <w:tab w:val="right" w:leader="dot" w:pos="8306"/>
          <w:tab w:val="clear" w:pos="8296"/>
        </w:tabs>
      </w:pPr>
      <w:r>
        <w:rPr>
          <w:rFonts w:eastAsia="宋体"/>
        </w:rPr>
        <w:fldChar w:fldCharType="begin"/>
      </w:r>
      <w:r>
        <w:rPr>
          <w:rFonts w:eastAsia="宋体"/>
        </w:rPr>
        <w:instrText xml:space="preserve"> HYPERLINK \l "_Toc15396599" </w:instrText>
      </w:r>
      <w:r>
        <w:rPr>
          <w:rFonts w:eastAsia="宋体"/>
        </w:rPr>
        <w:fldChar w:fldCharType="separate"/>
      </w:r>
    </w:p>
    <w:sdt>
      <w:sdtPr>
        <w:rPr>
          <w:lang w:val="en-US" w:eastAsia="zh-CN"/>
        </w:rPr>
        <w:id w:val="421873518"/>
        <w15:color w:val="DBDBDB"/>
        <w:docPartObj>
          <w:docPartGallery w:val="Table of Contents"/>
          <w:docPartUnique/>
        </w:docPartObj>
      </w:sdtPr>
      <w:sdtEndPr>
        <w:rPr>
          <w:rFonts w:eastAsia="宋体"/>
          <w:lang w:val="en-US" w:eastAsia="zh-CN"/>
        </w:rPr>
      </w:sdtEndPr>
      <w:sdtContent>
        <w:p>
          <w:pPr>
            <w:pStyle w:val="10"/>
            <w:bidi w:val="0"/>
          </w:pPr>
        </w:p>
        <w:p>
          <w:pPr>
            <w:pStyle w:val="13"/>
            <w:tabs>
              <w:tab w:val="right" w:leader="dot" w:pos="8306"/>
              <w:tab w:val="clear" w:pos="8296"/>
            </w:tabs>
            <w:rPr>
              <w:rFonts w:eastAsia="宋体"/>
            </w:rPr>
          </w:pPr>
          <w:r>
            <w:rPr>
              <w:rFonts w:eastAsia="宋体"/>
            </w:rPr>
            <w:fldChar w:fldCharType="begin"/>
          </w:r>
          <w:r>
            <w:rPr>
              <w:rFonts w:eastAsia="宋体"/>
            </w:rPr>
            <w:instrText xml:space="preserve">TOC \o "1-2" \t "目录" \h \u </w:instrText>
          </w:r>
          <w:r>
            <w:rPr>
              <w:rFonts w:eastAsia="宋体"/>
            </w:rPr>
            <w:fldChar w:fldCharType="separate"/>
          </w:r>
        </w:p>
        <w:p>
          <w:pPr>
            <w:pStyle w:val="13"/>
            <w:tabs>
              <w:tab w:val="right" w:leader="dot" w:pos="8306"/>
              <w:tab w:val="clear" w:pos="8296"/>
            </w:tabs>
            <w:jc w:val="center"/>
            <w:rPr>
              <w:rFonts w:eastAsia="宋体"/>
            </w:rPr>
          </w:pPr>
          <w:r>
            <w:rPr>
              <w:rFonts w:eastAsia="宋体"/>
            </w:rPr>
            <w:fldChar w:fldCharType="begin"/>
          </w:r>
          <w:r>
            <w:rPr>
              <w:rFonts w:eastAsia="宋体"/>
            </w:rPr>
            <w:instrText xml:space="preserve"> HYPERLINK \l _Toc688699166 </w:instrText>
          </w:r>
          <w:r>
            <w:rPr>
              <w:rFonts w:eastAsia="宋体"/>
            </w:rPr>
            <w:fldChar w:fldCharType="separate"/>
          </w:r>
          <w:r>
            <w:rPr>
              <w:rFonts w:hint="eastAsia" w:eastAsia="宋体"/>
              <w:b/>
              <w:bCs/>
              <w:sz w:val="24"/>
              <w:szCs w:val="24"/>
            </w:rPr>
            <w:t xml:space="preserve">第一部分 </w:t>
          </w:r>
          <w:r>
            <w:rPr>
              <w:rFonts w:hint="eastAsia" w:eastAsia="宋体"/>
              <w:b/>
              <w:bCs/>
              <w:sz w:val="24"/>
              <w:szCs w:val="24"/>
              <w:lang w:val="en-US" w:eastAsia="zh-CN"/>
            </w:rPr>
            <w:t>单位</w:t>
          </w:r>
          <w:r>
            <w:rPr>
              <w:rFonts w:hint="eastAsia" w:eastAsia="宋体"/>
              <w:b/>
              <w:bCs/>
              <w:sz w:val="24"/>
              <w:szCs w:val="24"/>
            </w:rPr>
            <w:t>概况</w:t>
          </w:r>
          <w:r>
            <w:rPr>
              <w:rFonts w:eastAsia="宋体"/>
            </w:rPr>
            <w:tab/>
          </w:r>
          <w:r>
            <w:rPr>
              <w:rFonts w:hint="eastAsia"/>
              <w:lang w:val="en-US" w:eastAsia="zh-CN"/>
            </w:rPr>
            <w:t>3</w:t>
          </w:r>
          <w:r>
            <w:rPr>
              <w:rFonts w:eastAsia="宋体"/>
            </w:rPr>
            <w:fldChar w:fldCharType="end"/>
          </w:r>
        </w:p>
        <w:p>
          <w:pPr>
            <w:pStyle w:val="13"/>
            <w:tabs>
              <w:tab w:val="right" w:leader="dot" w:pos="8306"/>
              <w:tab w:val="clear" w:pos="8296"/>
            </w:tabs>
            <w:jc w:val="center"/>
            <w:rPr>
              <w:rFonts w:hint="eastAsia" w:eastAsia="宋体"/>
              <w:lang w:eastAsia="zh-CN"/>
            </w:rPr>
          </w:pPr>
          <w:r>
            <w:rPr>
              <w:rFonts w:hint="eastAsia" w:eastAsia="宋体"/>
              <w:lang w:val="en-US" w:eastAsia="zh-CN"/>
            </w:rPr>
            <w:t>一、</w:t>
          </w:r>
          <w:r>
            <w:rPr>
              <w:rFonts w:hint="eastAsia" w:eastAsia="宋体"/>
            </w:rPr>
            <w:t>主要职</w:t>
          </w:r>
          <w:r>
            <w:rPr>
              <w:rFonts w:hint="eastAsia" w:eastAsia="宋体"/>
              <w:lang w:val="en-US" w:eastAsia="zh-CN"/>
            </w:rPr>
            <w:t>责</w:t>
          </w:r>
          <w:r>
            <w:rPr>
              <w:rFonts w:eastAsia="宋体"/>
            </w:rPr>
            <w:tab/>
          </w:r>
          <w:r>
            <w:rPr>
              <w:rFonts w:hint="eastAsia"/>
              <w:lang w:val="en-US" w:eastAsia="zh-CN"/>
            </w:rPr>
            <w:t>3</w:t>
          </w:r>
        </w:p>
        <w:p>
          <w:pPr>
            <w:pStyle w:val="2"/>
            <w:numPr>
              <w:ilvl w:val="0"/>
              <w:numId w:val="0"/>
            </w:numPr>
            <w:ind w:firstLine="420" w:firstLineChars="200"/>
            <w:jc w:val="center"/>
            <w:rPr>
              <w:rFonts w:eastAsia="宋体"/>
            </w:rPr>
          </w:pPr>
          <w:r>
            <w:rPr>
              <w:rFonts w:hint="default" w:ascii="Times New Roman" w:hAnsi="Times New Roman" w:eastAsia="宋体" w:cs="Times New Roman"/>
              <w:kern w:val="2"/>
              <w:sz w:val="21"/>
              <w:szCs w:val="24"/>
              <w:lang w:eastAsia="zh-CN" w:bidi="ar-SA"/>
            </w:rPr>
            <w:t>二、</w:t>
          </w:r>
          <w:r>
            <w:rPr>
              <w:rFonts w:hint="eastAsia" w:ascii="Times New Roman" w:hAnsi="Times New Roman" w:eastAsia="宋体" w:cs="Times New Roman"/>
              <w:kern w:val="2"/>
              <w:sz w:val="21"/>
              <w:szCs w:val="24"/>
              <w:lang w:val="en-US" w:eastAsia="zh-CN" w:bidi="ar-SA"/>
            </w:rPr>
            <w:t>机构设置</w:t>
          </w:r>
          <w:r>
            <w:rPr>
              <w:rFonts w:hint="default" w:ascii="Times New Roman" w:eastAsia="宋体" w:cs="Times New Roman"/>
              <w:kern w:val="2"/>
              <w:sz w:val="21"/>
              <w:szCs w:val="24"/>
              <w:lang w:eastAsia="zh-CN" w:bidi="ar-SA"/>
            </w:rPr>
            <w:t>......................................................................................................</w:t>
          </w:r>
          <w:r>
            <w:rPr>
              <w:rFonts w:hint="eastAsia" w:ascii="Times New Roman" w:eastAsia="宋体" w:cs="Times New Roman"/>
              <w:kern w:val="2"/>
              <w:sz w:val="21"/>
              <w:szCs w:val="24"/>
              <w:lang w:val="en-US" w:eastAsia="zh-CN" w:bidi="ar-SA"/>
            </w:rPr>
            <w:t>......</w:t>
          </w:r>
          <w:r>
            <w:rPr>
              <w:rFonts w:hint="default" w:ascii="Times New Roman" w:eastAsia="宋体" w:cs="Times New Roman"/>
              <w:kern w:val="2"/>
              <w:sz w:val="21"/>
              <w:szCs w:val="24"/>
              <w:lang w:eastAsia="zh-CN" w:bidi="ar-SA"/>
            </w:rPr>
            <w:t>................</w:t>
          </w:r>
          <w:r>
            <w:rPr>
              <w:rFonts w:hint="eastAsia" w:ascii="Times New Roman" w:eastAsia="宋体" w:cs="Times New Roman"/>
              <w:kern w:val="2"/>
              <w:sz w:val="21"/>
              <w:szCs w:val="24"/>
              <w:lang w:val="en-US" w:eastAsia="zh-CN" w:bidi="ar-SA"/>
            </w:rPr>
            <w:t>3</w:t>
          </w:r>
        </w:p>
        <w:p>
          <w:pPr>
            <w:pStyle w:val="2"/>
            <w:numPr>
              <w:ilvl w:val="0"/>
              <w:numId w:val="0"/>
            </w:numPr>
            <w:ind w:firstLine="481" w:firstLineChars="200"/>
            <w:jc w:val="center"/>
            <w:rPr>
              <w:rFonts w:hint="default" w:ascii="仿宋" w:hAnsi="仿宋" w:eastAsia="仿宋" w:cs="仿宋"/>
              <w:sz w:val="32"/>
              <w:szCs w:val="32"/>
            </w:rPr>
          </w:pPr>
          <w:r>
            <w:rPr>
              <w:rFonts w:hint="default" w:ascii="Times New Roman" w:hAnsi="Times New Roman" w:eastAsia="宋体" w:cs="Times New Roman"/>
              <w:b/>
              <w:bCs/>
              <w:kern w:val="2"/>
              <w:sz w:val="24"/>
              <w:szCs w:val="24"/>
              <w:lang w:eastAsia="zh-CN" w:bidi="ar-SA"/>
            </w:rPr>
            <w:t>第二部分</w:t>
          </w:r>
          <w:r>
            <w:rPr>
              <w:rFonts w:hint="eastAsia" w:ascii="Times New Roman" w:hAnsi="Times New Roman" w:eastAsia="宋体" w:cs="Times New Roman"/>
              <w:b/>
              <w:bCs/>
              <w:kern w:val="2"/>
              <w:sz w:val="24"/>
              <w:szCs w:val="24"/>
              <w:lang w:val="en-US" w:eastAsia="zh-CN" w:bidi="ar-SA"/>
            </w:rPr>
            <w:t>2022年度单位决算情况说明</w:t>
          </w:r>
          <w:r>
            <w:rPr>
              <w:rFonts w:hint="default" w:ascii="Times New Roman" w:eastAsia="宋体" w:cs="Times New Roman"/>
              <w:b/>
              <w:bCs/>
              <w:kern w:val="2"/>
              <w:sz w:val="24"/>
              <w:szCs w:val="24"/>
              <w:lang w:eastAsia="zh-CN" w:bidi="ar-SA"/>
            </w:rPr>
            <w:t>..............................................................</w:t>
          </w:r>
          <w:r>
            <w:rPr>
              <w:rFonts w:hint="eastAsia" w:ascii="Times New Roman" w:eastAsia="宋体" w:cs="Times New Roman"/>
              <w:b/>
              <w:bCs/>
              <w:kern w:val="2"/>
              <w:sz w:val="24"/>
              <w:szCs w:val="24"/>
              <w:lang w:val="en-US" w:eastAsia="zh-CN" w:bidi="ar-SA"/>
            </w:rPr>
            <w:t>3</w:t>
          </w:r>
        </w:p>
        <w:p>
          <w:pPr>
            <w:pStyle w:val="13"/>
            <w:tabs>
              <w:tab w:val="right" w:leader="dot" w:pos="8306"/>
              <w:tab w:val="clear" w:pos="8296"/>
            </w:tabs>
            <w:jc w:val="center"/>
            <w:rPr>
              <w:rFonts w:eastAsia="宋体"/>
            </w:rPr>
          </w:pPr>
          <w:r>
            <w:rPr>
              <w:rFonts w:eastAsia="宋体"/>
            </w:rPr>
            <w:fldChar w:fldCharType="begin"/>
          </w:r>
          <w:r>
            <w:rPr>
              <w:rFonts w:eastAsia="宋体"/>
            </w:rPr>
            <w:instrText xml:space="preserve"> HYPERLINK \l _Toc1186656206 </w:instrText>
          </w:r>
          <w:r>
            <w:rPr>
              <w:rFonts w:eastAsia="宋体"/>
            </w:rPr>
            <w:fldChar w:fldCharType="separate"/>
          </w:r>
          <w:r>
            <w:rPr>
              <w:rFonts w:hint="default" w:eastAsia="宋体"/>
            </w:rPr>
            <w:t xml:space="preserve">一、 </w:t>
          </w:r>
          <w:r>
            <w:rPr>
              <w:rFonts w:hint="eastAsia" w:eastAsia="宋体"/>
            </w:rPr>
            <w:t>收入支出决算总体情况说明</w:t>
          </w:r>
          <w:r>
            <w:rPr>
              <w:rFonts w:eastAsia="宋体"/>
            </w:rPr>
            <w:tab/>
          </w:r>
          <w:r>
            <w:rPr>
              <w:rFonts w:hint="eastAsia"/>
              <w:lang w:val="en-US" w:eastAsia="zh-CN"/>
            </w:rPr>
            <w:t>3</w:t>
          </w:r>
          <w:r>
            <w:rPr>
              <w:rFonts w:eastAsia="宋体"/>
            </w:rPr>
            <w:fldChar w:fldCharType="end"/>
          </w:r>
        </w:p>
        <w:p>
          <w:pPr>
            <w:pStyle w:val="13"/>
            <w:tabs>
              <w:tab w:val="right" w:leader="dot" w:pos="8306"/>
              <w:tab w:val="clear" w:pos="8296"/>
            </w:tabs>
            <w:jc w:val="center"/>
            <w:rPr>
              <w:rFonts w:eastAsia="宋体"/>
            </w:rPr>
          </w:pPr>
          <w:r>
            <w:rPr>
              <w:rFonts w:eastAsia="宋体"/>
            </w:rPr>
            <w:fldChar w:fldCharType="begin"/>
          </w:r>
          <w:r>
            <w:rPr>
              <w:rFonts w:eastAsia="宋体"/>
            </w:rPr>
            <w:instrText xml:space="preserve"> HYPERLINK \l _Toc223780681 </w:instrText>
          </w:r>
          <w:r>
            <w:rPr>
              <w:rFonts w:eastAsia="宋体"/>
            </w:rPr>
            <w:fldChar w:fldCharType="separate"/>
          </w:r>
          <w:r>
            <w:rPr>
              <w:rFonts w:hint="default" w:eastAsia="宋体"/>
            </w:rPr>
            <w:t xml:space="preserve">二、 </w:t>
          </w:r>
          <w:r>
            <w:rPr>
              <w:rFonts w:hint="eastAsia" w:eastAsia="宋体"/>
            </w:rPr>
            <w:t>收入决算情况说明</w:t>
          </w:r>
          <w:r>
            <w:rPr>
              <w:rFonts w:eastAsia="宋体"/>
            </w:rPr>
            <w:tab/>
          </w:r>
          <w:r>
            <w:rPr>
              <w:rFonts w:hint="eastAsia"/>
              <w:lang w:val="en-US" w:eastAsia="zh-CN"/>
            </w:rPr>
            <w:t>4</w:t>
          </w:r>
          <w:r>
            <w:rPr>
              <w:rFonts w:eastAsia="宋体"/>
            </w:rPr>
            <w:fldChar w:fldCharType="end"/>
          </w:r>
        </w:p>
        <w:p>
          <w:pPr>
            <w:pStyle w:val="13"/>
            <w:tabs>
              <w:tab w:val="right" w:leader="dot" w:pos="8306"/>
              <w:tab w:val="clear" w:pos="8296"/>
            </w:tabs>
            <w:jc w:val="center"/>
            <w:rPr>
              <w:rFonts w:eastAsia="宋体"/>
            </w:rPr>
          </w:pPr>
          <w:r>
            <w:rPr>
              <w:rFonts w:eastAsia="宋体"/>
            </w:rPr>
            <w:fldChar w:fldCharType="begin"/>
          </w:r>
          <w:r>
            <w:rPr>
              <w:rFonts w:eastAsia="宋体"/>
            </w:rPr>
            <w:instrText xml:space="preserve"> HYPERLINK \l _Toc2030467290 </w:instrText>
          </w:r>
          <w:r>
            <w:rPr>
              <w:rFonts w:eastAsia="宋体"/>
            </w:rPr>
            <w:fldChar w:fldCharType="separate"/>
          </w:r>
          <w:r>
            <w:rPr>
              <w:rFonts w:hint="default" w:eastAsia="宋体"/>
            </w:rPr>
            <w:t xml:space="preserve">三、 </w:t>
          </w:r>
          <w:r>
            <w:rPr>
              <w:rFonts w:hint="eastAsia" w:eastAsia="宋体"/>
            </w:rPr>
            <w:t>支出决算情况说明</w:t>
          </w:r>
          <w:r>
            <w:rPr>
              <w:rFonts w:eastAsia="宋体"/>
            </w:rPr>
            <w:tab/>
          </w:r>
          <w:r>
            <w:rPr>
              <w:rFonts w:eastAsia="宋体"/>
            </w:rPr>
            <w:fldChar w:fldCharType="begin"/>
          </w:r>
          <w:r>
            <w:rPr>
              <w:rFonts w:eastAsia="宋体"/>
            </w:rPr>
            <w:instrText xml:space="preserve"> PAGEREF _Toc2030467290 \h </w:instrText>
          </w:r>
          <w:r>
            <w:rPr>
              <w:rFonts w:eastAsia="宋体"/>
            </w:rPr>
            <w:fldChar w:fldCharType="separate"/>
          </w:r>
          <w:r>
            <w:rPr>
              <w:rFonts w:eastAsia="宋体"/>
            </w:rPr>
            <w:t>4</w:t>
          </w:r>
          <w:r>
            <w:rPr>
              <w:rFonts w:eastAsia="宋体"/>
            </w:rPr>
            <w:fldChar w:fldCharType="end"/>
          </w:r>
          <w:r>
            <w:rPr>
              <w:rFonts w:eastAsia="宋体"/>
            </w:rPr>
            <w:fldChar w:fldCharType="end"/>
          </w:r>
        </w:p>
        <w:p>
          <w:pPr>
            <w:pStyle w:val="13"/>
            <w:tabs>
              <w:tab w:val="right" w:leader="dot" w:pos="8306"/>
              <w:tab w:val="clear" w:pos="8296"/>
            </w:tabs>
            <w:jc w:val="center"/>
            <w:rPr>
              <w:rFonts w:eastAsia="宋体"/>
            </w:rPr>
          </w:pPr>
          <w:r>
            <w:rPr>
              <w:rFonts w:eastAsia="宋体"/>
            </w:rPr>
            <w:fldChar w:fldCharType="begin"/>
          </w:r>
          <w:r>
            <w:rPr>
              <w:rFonts w:eastAsia="宋体"/>
            </w:rPr>
            <w:instrText xml:space="preserve"> HYPERLINK \l _Toc731533553 </w:instrText>
          </w:r>
          <w:r>
            <w:rPr>
              <w:rFonts w:eastAsia="宋体"/>
            </w:rPr>
            <w:fldChar w:fldCharType="separate"/>
          </w:r>
          <w:r>
            <w:rPr>
              <w:rFonts w:hint="eastAsia" w:eastAsia="宋体"/>
              <w:lang w:val="en-US" w:eastAsia="zh-CN"/>
            </w:rPr>
            <w:t>四、</w:t>
          </w:r>
          <w:r>
            <w:rPr>
              <w:rFonts w:hint="eastAsia" w:eastAsia="宋体"/>
            </w:rPr>
            <w:t>财政拨款收入支出决算总体情况说明</w:t>
          </w:r>
          <w:r>
            <w:rPr>
              <w:rFonts w:eastAsia="宋体"/>
            </w:rPr>
            <w:tab/>
          </w:r>
          <w:r>
            <w:rPr>
              <w:rFonts w:eastAsia="宋体"/>
            </w:rPr>
            <w:fldChar w:fldCharType="begin"/>
          </w:r>
          <w:r>
            <w:rPr>
              <w:rFonts w:eastAsia="宋体"/>
            </w:rPr>
            <w:instrText xml:space="preserve"> PAGEREF _Toc731533553 \h </w:instrText>
          </w:r>
          <w:r>
            <w:rPr>
              <w:rFonts w:eastAsia="宋体"/>
            </w:rPr>
            <w:fldChar w:fldCharType="separate"/>
          </w:r>
          <w:r>
            <w:rPr>
              <w:rFonts w:eastAsia="宋体"/>
            </w:rPr>
            <w:t>5</w:t>
          </w:r>
          <w:r>
            <w:rPr>
              <w:rFonts w:eastAsia="宋体"/>
            </w:rPr>
            <w:fldChar w:fldCharType="end"/>
          </w:r>
          <w:r>
            <w:rPr>
              <w:rFonts w:eastAsia="宋体"/>
            </w:rPr>
            <w:fldChar w:fldCharType="end"/>
          </w:r>
        </w:p>
        <w:p>
          <w:pPr>
            <w:pStyle w:val="13"/>
            <w:tabs>
              <w:tab w:val="right" w:leader="dot" w:pos="8306"/>
              <w:tab w:val="clear" w:pos="8296"/>
            </w:tabs>
            <w:jc w:val="center"/>
            <w:rPr>
              <w:rFonts w:eastAsia="宋体"/>
            </w:rPr>
          </w:pPr>
          <w:r>
            <w:rPr>
              <w:rFonts w:eastAsia="宋体"/>
            </w:rPr>
            <w:fldChar w:fldCharType="begin"/>
          </w:r>
          <w:r>
            <w:rPr>
              <w:rFonts w:eastAsia="宋体"/>
            </w:rPr>
            <w:instrText xml:space="preserve"> HYPERLINK \l _Toc187841964 </w:instrText>
          </w:r>
          <w:r>
            <w:rPr>
              <w:rFonts w:eastAsia="宋体"/>
            </w:rPr>
            <w:fldChar w:fldCharType="separate"/>
          </w:r>
          <w:r>
            <w:rPr>
              <w:rFonts w:hint="eastAsia" w:eastAsia="宋体"/>
            </w:rPr>
            <w:t>五、一般公共预算财政拨款支出决算情况说明</w:t>
          </w:r>
          <w:r>
            <w:rPr>
              <w:rFonts w:eastAsia="宋体"/>
            </w:rPr>
            <w:tab/>
          </w:r>
          <w:r>
            <w:rPr>
              <w:rFonts w:hint="eastAsia"/>
              <w:lang w:val="en-US" w:eastAsia="zh-CN"/>
            </w:rPr>
            <w:t>6</w:t>
          </w:r>
          <w:r>
            <w:rPr>
              <w:rFonts w:eastAsia="宋体"/>
            </w:rPr>
            <w:fldChar w:fldCharType="end"/>
          </w:r>
        </w:p>
        <w:p>
          <w:pPr>
            <w:pStyle w:val="13"/>
            <w:tabs>
              <w:tab w:val="right" w:leader="dot" w:pos="8306"/>
              <w:tab w:val="clear" w:pos="8296"/>
            </w:tabs>
            <w:jc w:val="center"/>
            <w:rPr>
              <w:rFonts w:eastAsia="宋体"/>
            </w:rPr>
          </w:pPr>
          <w:r>
            <w:rPr>
              <w:rFonts w:eastAsia="宋体"/>
            </w:rPr>
            <w:fldChar w:fldCharType="begin"/>
          </w:r>
          <w:r>
            <w:rPr>
              <w:rFonts w:eastAsia="宋体"/>
            </w:rPr>
            <w:instrText xml:space="preserve"> HYPERLINK \l _Toc859537357 </w:instrText>
          </w:r>
          <w:r>
            <w:rPr>
              <w:rFonts w:eastAsia="宋体"/>
            </w:rPr>
            <w:fldChar w:fldCharType="separate"/>
          </w:r>
          <w:r>
            <w:rPr>
              <w:rFonts w:hint="eastAsia" w:eastAsia="宋体"/>
            </w:rPr>
            <w:t>六、一般公共预算财政拨款基本支出决算情况说明</w:t>
          </w:r>
          <w:r>
            <w:rPr>
              <w:rFonts w:eastAsia="宋体"/>
            </w:rPr>
            <w:tab/>
          </w:r>
          <w:r>
            <w:rPr>
              <w:rFonts w:eastAsia="宋体"/>
            </w:rPr>
            <w:fldChar w:fldCharType="begin"/>
          </w:r>
          <w:r>
            <w:rPr>
              <w:rFonts w:eastAsia="宋体"/>
            </w:rPr>
            <w:instrText xml:space="preserve"> PAGEREF _Toc859537357 \h </w:instrText>
          </w:r>
          <w:r>
            <w:rPr>
              <w:rFonts w:eastAsia="宋体"/>
            </w:rPr>
            <w:fldChar w:fldCharType="separate"/>
          </w:r>
          <w:r>
            <w:rPr>
              <w:rFonts w:eastAsia="宋体"/>
            </w:rPr>
            <w:t>11</w:t>
          </w:r>
          <w:r>
            <w:rPr>
              <w:rFonts w:eastAsia="宋体"/>
            </w:rPr>
            <w:fldChar w:fldCharType="end"/>
          </w:r>
          <w:r>
            <w:rPr>
              <w:rFonts w:eastAsia="宋体"/>
            </w:rPr>
            <w:fldChar w:fldCharType="end"/>
          </w:r>
        </w:p>
        <w:p>
          <w:pPr>
            <w:pStyle w:val="13"/>
            <w:tabs>
              <w:tab w:val="right" w:leader="dot" w:pos="8306"/>
              <w:tab w:val="clear" w:pos="8296"/>
            </w:tabs>
            <w:jc w:val="center"/>
            <w:rPr>
              <w:rFonts w:eastAsia="宋体"/>
            </w:rPr>
          </w:pPr>
          <w:r>
            <w:rPr>
              <w:rFonts w:eastAsia="宋体"/>
            </w:rPr>
            <w:fldChar w:fldCharType="begin"/>
          </w:r>
          <w:r>
            <w:rPr>
              <w:rFonts w:eastAsia="宋体"/>
            </w:rPr>
            <w:instrText xml:space="preserve"> HYPERLINK \l _Toc1364407172 </w:instrText>
          </w:r>
          <w:r>
            <w:rPr>
              <w:rFonts w:eastAsia="宋体"/>
            </w:rPr>
            <w:fldChar w:fldCharType="separate"/>
          </w:r>
          <w:r>
            <w:rPr>
              <w:rFonts w:hint="eastAsia" w:eastAsia="宋体"/>
            </w:rPr>
            <w:t>七、“三公”经费财政拨款支出决算情况说明</w:t>
          </w:r>
          <w:r>
            <w:rPr>
              <w:rFonts w:eastAsia="宋体"/>
            </w:rPr>
            <w:tab/>
          </w:r>
          <w:r>
            <w:rPr>
              <w:rFonts w:eastAsia="宋体"/>
            </w:rPr>
            <w:fldChar w:fldCharType="begin"/>
          </w:r>
          <w:r>
            <w:rPr>
              <w:rFonts w:eastAsia="宋体"/>
            </w:rPr>
            <w:instrText xml:space="preserve"> PAGEREF _Toc1364407172 \h </w:instrText>
          </w:r>
          <w:r>
            <w:rPr>
              <w:rFonts w:eastAsia="宋体"/>
            </w:rPr>
            <w:fldChar w:fldCharType="separate"/>
          </w:r>
          <w:r>
            <w:rPr>
              <w:rFonts w:eastAsia="宋体"/>
            </w:rPr>
            <w:t>11</w:t>
          </w:r>
          <w:r>
            <w:rPr>
              <w:rFonts w:eastAsia="宋体"/>
            </w:rPr>
            <w:fldChar w:fldCharType="end"/>
          </w:r>
          <w:r>
            <w:rPr>
              <w:rFonts w:eastAsia="宋体"/>
            </w:rPr>
            <w:fldChar w:fldCharType="end"/>
          </w:r>
        </w:p>
        <w:p>
          <w:pPr>
            <w:pStyle w:val="13"/>
            <w:tabs>
              <w:tab w:val="right" w:leader="dot" w:pos="8306"/>
              <w:tab w:val="clear" w:pos="8296"/>
            </w:tabs>
            <w:jc w:val="center"/>
            <w:rPr>
              <w:rFonts w:eastAsia="宋体"/>
            </w:rPr>
          </w:pPr>
          <w:r>
            <w:rPr>
              <w:rFonts w:eastAsia="宋体"/>
            </w:rPr>
            <w:fldChar w:fldCharType="begin"/>
          </w:r>
          <w:r>
            <w:rPr>
              <w:rFonts w:eastAsia="宋体"/>
            </w:rPr>
            <w:instrText xml:space="preserve"> HYPERLINK \l _Toc1921189587 </w:instrText>
          </w:r>
          <w:r>
            <w:rPr>
              <w:rFonts w:eastAsia="宋体"/>
            </w:rPr>
            <w:fldChar w:fldCharType="separate"/>
          </w:r>
          <w:r>
            <w:rPr>
              <w:rFonts w:hint="eastAsia" w:eastAsia="宋体"/>
            </w:rPr>
            <w:t>八、政府性基金预算支出决算情况说明</w:t>
          </w:r>
          <w:r>
            <w:rPr>
              <w:rFonts w:eastAsia="宋体"/>
            </w:rPr>
            <w:tab/>
          </w:r>
          <w:r>
            <w:rPr>
              <w:rFonts w:eastAsia="宋体"/>
            </w:rPr>
            <w:fldChar w:fldCharType="begin"/>
          </w:r>
          <w:r>
            <w:rPr>
              <w:rFonts w:eastAsia="宋体"/>
            </w:rPr>
            <w:instrText xml:space="preserve"> PAGEREF _Toc1921189587 \h </w:instrText>
          </w:r>
          <w:r>
            <w:rPr>
              <w:rFonts w:eastAsia="宋体"/>
            </w:rPr>
            <w:fldChar w:fldCharType="separate"/>
          </w:r>
          <w:r>
            <w:rPr>
              <w:rFonts w:eastAsia="宋体"/>
            </w:rPr>
            <w:t>12</w:t>
          </w:r>
          <w:r>
            <w:rPr>
              <w:rFonts w:eastAsia="宋体"/>
            </w:rPr>
            <w:fldChar w:fldCharType="end"/>
          </w:r>
          <w:r>
            <w:rPr>
              <w:rFonts w:eastAsia="宋体"/>
            </w:rPr>
            <w:fldChar w:fldCharType="end"/>
          </w:r>
        </w:p>
        <w:p>
          <w:pPr>
            <w:pStyle w:val="13"/>
            <w:tabs>
              <w:tab w:val="right" w:leader="dot" w:pos="8306"/>
              <w:tab w:val="clear" w:pos="8296"/>
            </w:tabs>
            <w:jc w:val="center"/>
            <w:rPr>
              <w:rFonts w:eastAsia="宋体"/>
            </w:rPr>
          </w:pPr>
          <w:r>
            <w:rPr>
              <w:rFonts w:eastAsia="宋体"/>
            </w:rPr>
            <w:fldChar w:fldCharType="begin"/>
          </w:r>
          <w:r>
            <w:rPr>
              <w:rFonts w:eastAsia="宋体"/>
            </w:rPr>
            <w:instrText xml:space="preserve"> HYPERLINK \l _Toc1726578655 </w:instrText>
          </w:r>
          <w:r>
            <w:rPr>
              <w:rFonts w:eastAsia="宋体"/>
            </w:rPr>
            <w:fldChar w:fldCharType="separate"/>
          </w:r>
          <w:r>
            <w:rPr>
              <w:rFonts w:hint="eastAsia" w:eastAsia="宋体"/>
            </w:rPr>
            <w:t>九、 国有资本经营预算支出决算情况说明</w:t>
          </w:r>
          <w:r>
            <w:rPr>
              <w:rFonts w:eastAsia="宋体"/>
            </w:rPr>
            <w:tab/>
          </w:r>
          <w:r>
            <w:rPr>
              <w:rFonts w:eastAsia="宋体"/>
            </w:rPr>
            <w:fldChar w:fldCharType="begin"/>
          </w:r>
          <w:r>
            <w:rPr>
              <w:rFonts w:eastAsia="宋体"/>
            </w:rPr>
            <w:instrText xml:space="preserve"> PAGEREF _Toc1726578655 \h </w:instrText>
          </w:r>
          <w:r>
            <w:rPr>
              <w:rFonts w:eastAsia="宋体"/>
            </w:rPr>
            <w:fldChar w:fldCharType="separate"/>
          </w:r>
          <w:r>
            <w:rPr>
              <w:rFonts w:eastAsia="宋体"/>
            </w:rPr>
            <w:t>12</w:t>
          </w:r>
          <w:r>
            <w:rPr>
              <w:rFonts w:eastAsia="宋体"/>
            </w:rPr>
            <w:fldChar w:fldCharType="end"/>
          </w:r>
          <w:r>
            <w:rPr>
              <w:rFonts w:eastAsia="宋体"/>
            </w:rPr>
            <w:fldChar w:fldCharType="end"/>
          </w:r>
        </w:p>
        <w:p>
          <w:pPr>
            <w:pStyle w:val="13"/>
            <w:tabs>
              <w:tab w:val="right" w:leader="dot" w:pos="8306"/>
              <w:tab w:val="clear" w:pos="8296"/>
            </w:tabs>
            <w:jc w:val="center"/>
            <w:rPr>
              <w:rFonts w:eastAsia="宋体"/>
            </w:rPr>
          </w:pPr>
          <w:r>
            <w:rPr>
              <w:rFonts w:eastAsia="宋体"/>
            </w:rPr>
            <w:fldChar w:fldCharType="begin"/>
          </w:r>
          <w:r>
            <w:rPr>
              <w:rFonts w:eastAsia="宋体"/>
            </w:rPr>
            <w:instrText xml:space="preserve"> HYPERLINK \l _Toc1090646642 </w:instrText>
          </w:r>
          <w:r>
            <w:rPr>
              <w:rFonts w:eastAsia="宋体"/>
            </w:rPr>
            <w:fldChar w:fldCharType="separate"/>
          </w:r>
          <w:r>
            <w:rPr>
              <w:rFonts w:hint="eastAsia" w:eastAsia="宋体"/>
            </w:rPr>
            <w:t>十、 其他重要事项的情况说明</w:t>
          </w:r>
          <w:r>
            <w:rPr>
              <w:rFonts w:eastAsia="宋体"/>
            </w:rPr>
            <w:tab/>
          </w:r>
          <w:r>
            <w:rPr>
              <w:rFonts w:eastAsia="宋体"/>
            </w:rPr>
            <w:fldChar w:fldCharType="begin"/>
          </w:r>
          <w:r>
            <w:rPr>
              <w:rFonts w:eastAsia="宋体"/>
            </w:rPr>
            <w:instrText xml:space="preserve"> PAGEREF _Toc1090646642 \h </w:instrText>
          </w:r>
          <w:r>
            <w:rPr>
              <w:rFonts w:eastAsia="宋体"/>
            </w:rPr>
            <w:fldChar w:fldCharType="separate"/>
          </w:r>
          <w:r>
            <w:rPr>
              <w:rFonts w:eastAsia="宋体"/>
            </w:rPr>
            <w:t>12</w:t>
          </w:r>
          <w:r>
            <w:rPr>
              <w:rFonts w:eastAsia="宋体"/>
            </w:rPr>
            <w:fldChar w:fldCharType="end"/>
          </w:r>
          <w:r>
            <w:rPr>
              <w:rFonts w:eastAsia="宋体"/>
            </w:rPr>
            <w:fldChar w:fldCharType="end"/>
          </w:r>
        </w:p>
        <w:p>
          <w:pPr>
            <w:pStyle w:val="13"/>
            <w:tabs>
              <w:tab w:val="right" w:leader="dot" w:pos="8306"/>
              <w:tab w:val="clear" w:pos="8296"/>
            </w:tabs>
            <w:ind w:left="0" w:leftChars="0" w:firstLine="481" w:firstLineChars="200"/>
            <w:jc w:val="center"/>
            <w:rPr>
              <w:rFonts w:hint="default" w:ascii="Times New Roman" w:hAnsi="Times New Roman" w:eastAsia="宋体" w:cs="Times New Roman"/>
              <w:b/>
              <w:bCs/>
              <w:kern w:val="2"/>
              <w:sz w:val="24"/>
              <w:szCs w:val="24"/>
              <w:lang w:eastAsia="zh-CN" w:bidi="ar-SA"/>
            </w:rPr>
          </w:pPr>
          <w:r>
            <w:rPr>
              <w:rFonts w:hint="default" w:ascii="Times New Roman" w:hAnsi="Times New Roman" w:eastAsia="宋体" w:cs="Times New Roman"/>
              <w:b/>
              <w:bCs/>
              <w:kern w:val="2"/>
              <w:sz w:val="24"/>
              <w:szCs w:val="24"/>
              <w:lang w:eastAsia="zh-CN" w:bidi="ar-SA"/>
            </w:rPr>
            <w:t>第三部分</w:t>
          </w:r>
          <w:r>
            <w:rPr>
              <w:rFonts w:hint="default" w:eastAsia="宋体" w:cs="Times New Roman"/>
              <w:b/>
              <w:bCs/>
              <w:kern w:val="2"/>
              <w:sz w:val="24"/>
              <w:szCs w:val="24"/>
              <w:lang w:eastAsia="zh-CN" w:bidi="ar-SA"/>
            </w:rPr>
            <w:t xml:space="preserve"> </w:t>
          </w:r>
          <w:r>
            <w:rPr>
              <w:rFonts w:hint="default" w:ascii="Times New Roman" w:hAnsi="Times New Roman" w:eastAsia="宋体" w:cs="Times New Roman"/>
              <w:b/>
              <w:bCs/>
              <w:kern w:val="2"/>
              <w:sz w:val="24"/>
              <w:szCs w:val="24"/>
              <w:lang w:eastAsia="zh-CN" w:bidi="ar-SA"/>
            </w:rPr>
            <w:t>名词解释</w:t>
          </w:r>
          <w:r>
            <w:rPr>
              <w:rFonts w:hint="default" w:eastAsia="宋体" w:cs="Times New Roman"/>
              <w:b/>
              <w:bCs/>
              <w:kern w:val="2"/>
              <w:sz w:val="24"/>
              <w:szCs w:val="24"/>
              <w:lang w:eastAsia="zh-CN" w:bidi="ar-SA"/>
            </w:rPr>
            <w:t>............................................................................................1</w:t>
          </w:r>
          <w:r>
            <w:rPr>
              <w:rFonts w:hint="eastAsia" w:cs="Times New Roman"/>
              <w:b/>
              <w:bCs/>
              <w:kern w:val="2"/>
              <w:sz w:val="24"/>
              <w:szCs w:val="24"/>
              <w:lang w:val="en-US" w:eastAsia="zh-CN" w:bidi="ar-SA"/>
            </w:rPr>
            <w:t>3</w:t>
          </w:r>
        </w:p>
        <w:p>
          <w:pPr>
            <w:pStyle w:val="13"/>
            <w:tabs>
              <w:tab w:val="right" w:leader="dot" w:pos="8306"/>
              <w:tab w:val="clear" w:pos="8296"/>
            </w:tabs>
            <w:ind w:firstLine="481" w:firstLineChars="200"/>
            <w:jc w:val="both"/>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fldChar w:fldCharType="begin"/>
          </w:r>
          <w:r>
            <w:rPr>
              <w:rFonts w:hint="default" w:ascii="Times New Roman" w:hAnsi="Times New Roman" w:eastAsia="宋体" w:cs="Times New Roman"/>
              <w:b/>
              <w:bCs/>
              <w:kern w:val="2"/>
              <w:sz w:val="24"/>
              <w:szCs w:val="24"/>
              <w:lang w:val="en-US" w:eastAsia="zh-CN" w:bidi="ar-SA"/>
            </w:rPr>
            <w:instrText xml:space="preserve"> HYPERLINK \l _Toc2039053063 </w:instrText>
          </w:r>
          <w:r>
            <w:rPr>
              <w:rFonts w:hint="default" w:ascii="Times New Roman" w:hAnsi="Times New Roman" w:eastAsia="宋体" w:cs="Times New Roman"/>
              <w:b/>
              <w:bCs/>
              <w:kern w:val="2"/>
              <w:sz w:val="24"/>
              <w:szCs w:val="24"/>
              <w:lang w:val="en-US" w:eastAsia="zh-CN" w:bidi="ar-SA"/>
            </w:rPr>
            <w:fldChar w:fldCharType="separate"/>
          </w:r>
          <w:r>
            <w:rPr>
              <w:rFonts w:hint="eastAsia" w:ascii="Times New Roman" w:hAnsi="Times New Roman" w:eastAsia="宋体" w:cs="Times New Roman"/>
              <w:b/>
              <w:bCs/>
              <w:kern w:val="2"/>
              <w:sz w:val="24"/>
              <w:szCs w:val="24"/>
              <w:lang w:val="en-US" w:eastAsia="zh-CN" w:bidi="ar-SA"/>
            </w:rPr>
            <w:t>第四部分 附件</w:t>
          </w:r>
          <w:r>
            <w:rPr>
              <w:rFonts w:hint="eastAsia" w:cs="Times New Roman"/>
              <w:b/>
              <w:bCs/>
              <w:kern w:val="2"/>
              <w:sz w:val="24"/>
              <w:szCs w:val="24"/>
              <w:lang w:val="en-US" w:eastAsia="zh-CN" w:bidi="ar-SA"/>
            </w:rPr>
            <w:t>..........................................................................................</w:t>
          </w:r>
          <w:r>
            <w:rPr>
              <w:rFonts w:hint="default" w:ascii="Times New Roman" w:hAnsi="Times New Roman" w:eastAsia="宋体" w:cs="Times New Roman"/>
              <w:b/>
              <w:bCs/>
              <w:kern w:val="2"/>
              <w:sz w:val="24"/>
              <w:szCs w:val="24"/>
              <w:lang w:val="en-US" w:eastAsia="zh-CN" w:bidi="ar-SA"/>
            </w:rPr>
            <w:tab/>
          </w:r>
          <w:r>
            <w:rPr>
              <w:rFonts w:hint="eastAsia" w:cs="Times New Roman"/>
              <w:b/>
              <w:bCs/>
              <w:kern w:val="2"/>
              <w:sz w:val="24"/>
              <w:szCs w:val="24"/>
              <w:lang w:val="en-US" w:eastAsia="zh-CN" w:bidi="ar-SA"/>
            </w:rPr>
            <w:t>..........1</w:t>
          </w:r>
          <w:r>
            <w:rPr>
              <w:rFonts w:hint="default" w:ascii="Times New Roman" w:hAnsi="Times New Roman" w:eastAsia="宋体" w:cs="Times New Roman"/>
              <w:b/>
              <w:bCs/>
              <w:kern w:val="2"/>
              <w:sz w:val="24"/>
              <w:szCs w:val="24"/>
              <w:lang w:val="en-US" w:eastAsia="zh-CN" w:bidi="ar-SA"/>
            </w:rPr>
            <w:fldChar w:fldCharType="end"/>
          </w:r>
          <w:r>
            <w:rPr>
              <w:rFonts w:hint="eastAsia" w:cs="Times New Roman"/>
              <w:b/>
              <w:bCs/>
              <w:kern w:val="2"/>
              <w:sz w:val="24"/>
              <w:szCs w:val="24"/>
              <w:lang w:val="en-US" w:eastAsia="zh-CN" w:bidi="ar-SA"/>
            </w:rPr>
            <w:t>8</w:t>
          </w:r>
        </w:p>
        <w:p>
          <w:pPr>
            <w:pStyle w:val="13"/>
            <w:tabs>
              <w:tab w:val="right" w:leader="dot" w:pos="8306"/>
              <w:tab w:val="clear" w:pos="8296"/>
            </w:tabs>
            <w:jc w:val="center"/>
            <w:rPr>
              <w:rFonts w:hint="default" w:eastAsia="宋体"/>
              <w:lang w:val="en-US"/>
            </w:rPr>
          </w:pPr>
          <w:r>
            <w:rPr>
              <w:rFonts w:hint="default" w:ascii="Times New Roman" w:hAnsi="Times New Roman" w:eastAsia="宋体" w:cs="Times New Roman"/>
              <w:b/>
              <w:bCs/>
              <w:kern w:val="2"/>
              <w:sz w:val="24"/>
              <w:szCs w:val="24"/>
              <w:lang w:val="en-US" w:eastAsia="zh-CN" w:bidi="ar-SA"/>
            </w:rPr>
            <w:fldChar w:fldCharType="begin"/>
          </w:r>
          <w:r>
            <w:rPr>
              <w:rFonts w:hint="default" w:ascii="Times New Roman" w:hAnsi="Times New Roman" w:eastAsia="宋体" w:cs="Times New Roman"/>
              <w:b/>
              <w:bCs/>
              <w:kern w:val="2"/>
              <w:sz w:val="24"/>
              <w:szCs w:val="24"/>
              <w:lang w:val="en-US" w:eastAsia="zh-CN" w:bidi="ar-SA"/>
            </w:rPr>
            <w:instrText xml:space="preserve"> HYPERLINK \l _Toc463011323 </w:instrText>
          </w:r>
          <w:r>
            <w:rPr>
              <w:rFonts w:hint="default" w:ascii="Times New Roman" w:hAnsi="Times New Roman" w:eastAsia="宋体" w:cs="Times New Roman"/>
              <w:b/>
              <w:bCs/>
              <w:kern w:val="2"/>
              <w:sz w:val="24"/>
              <w:szCs w:val="24"/>
              <w:lang w:val="en-US" w:eastAsia="zh-CN" w:bidi="ar-SA"/>
            </w:rPr>
            <w:fldChar w:fldCharType="separate"/>
          </w:r>
          <w:r>
            <w:rPr>
              <w:rFonts w:hint="eastAsia" w:ascii="Times New Roman" w:hAnsi="Times New Roman" w:eastAsia="宋体" w:cs="Times New Roman"/>
              <w:b/>
              <w:bCs/>
              <w:kern w:val="2"/>
              <w:sz w:val="24"/>
              <w:szCs w:val="24"/>
              <w:lang w:val="en-US" w:eastAsia="zh-CN" w:bidi="ar-SA"/>
            </w:rPr>
            <w:t>第五部分</w:t>
          </w:r>
          <w:r>
            <w:rPr>
              <w:rFonts w:hint="default" w:eastAsia="宋体" w:cs="Times New Roman"/>
              <w:b/>
              <w:bCs/>
              <w:kern w:val="2"/>
              <w:sz w:val="24"/>
              <w:szCs w:val="24"/>
              <w:lang w:eastAsia="zh-CN" w:bidi="ar-SA"/>
            </w:rPr>
            <w:t xml:space="preserve"> </w:t>
          </w:r>
          <w:r>
            <w:rPr>
              <w:rFonts w:hint="eastAsia" w:ascii="Times New Roman" w:hAnsi="Times New Roman" w:eastAsia="宋体" w:cs="Times New Roman"/>
              <w:b/>
              <w:bCs/>
              <w:kern w:val="2"/>
              <w:sz w:val="24"/>
              <w:szCs w:val="24"/>
              <w:lang w:val="en-US" w:eastAsia="zh-CN" w:bidi="ar-SA"/>
            </w:rPr>
            <w:t>附表</w:t>
          </w:r>
          <w:r>
            <w:rPr>
              <w:rFonts w:hint="default" w:ascii="Times New Roman" w:hAnsi="Times New Roman" w:eastAsia="宋体" w:cs="Times New Roman"/>
              <w:b/>
              <w:bCs/>
              <w:kern w:val="2"/>
              <w:sz w:val="24"/>
              <w:szCs w:val="24"/>
              <w:lang w:val="en-US" w:eastAsia="zh-CN" w:bidi="ar-SA"/>
            </w:rPr>
            <w:tab/>
          </w:r>
          <w:r>
            <w:rPr>
              <w:rFonts w:hint="eastAsia" w:cs="Times New Roman"/>
              <w:b/>
              <w:bCs/>
              <w:kern w:val="2"/>
              <w:sz w:val="24"/>
              <w:szCs w:val="24"/>
              <w:lang w:val="en-US" w:eastAsia="zh-CN" w:bidi="ar-SA"/>
            </w:rPr>
            <w:t>1</w:t>
          </w:r>
          <w:r>
            <w:rPr>
              <w:rFonts w:hint="default" w:ascii="Times New Roman" w:hAnsi="Times New Roman" w:eastAsia="宋体" w:cs="Times New Roman"/>
              <w:b/>
              <w:bCs/>
              <w:kern w:val="2"/>
              <w:sz w:val="24"/>
              <w:szCs w:val="24"/>
              <w:lang w:val="en-US" w:eastAsia="zh-CN" w:bidi="ar-SA"/>
            </w:rPr>
            <w:fldChar w:fldCharType="end"/>
          </w:r>
          <w:r>
            <w:rPr>
              <w:rFonts w:hint="eastAsia" w:cs="Times New Roman"/>
              <w:b/>
              <w:bCs/>
              <w:kern w:val="2"/>
              <w:sz w:val="24"/>
              <w:szCs w:val="24"/>
              <w:lang w:val="en-US" w:eastAsia="zh-CN" w:bidi="ar-SA"/>
            </w:rPr>
            <w:t>8</w:t>
          </w:r>
        </w:p>
        <w:p>
          <w:pPr>
            <w:pStyle w:val="13"/>
            <w:tabs>
              <w:tab w:val="right" w:leader="dot" w:pos="8306"/>
              <w:tab w:val="clear" w:pos="8296"/>
            </w:tabs>
            <w:jc w:val="center"/>
            <w:rPr>
              <w:rFonts w:hint="default" w:eastAsia="宋体"/>
              <w:lang w:val="en-US" w:eastAsia="zh-CN"/>
            </w:rPr>
          </w:pPr>
          <w:r>
            <w:rPr>
              <w:rFonts w:eastAsia="宋体"/>
            </w:rPr>
            <w:fldChar w:fldCharType="begin"/>
          </w:r>
          <w:r>
            <w:rPr>
              <w:rFonts w:eastAsia="宋体"/>
            </w:rPr>
            <w:instrText xml:space="preserve"> HYPERLINK \l "_Toc15396603" </w:instrText>
          </w:r>
          <w:r>
            <w:rPr>
              <w:rFonts w:eastAsia="宋体"/>
            </w:rPr>
            <w:fldChar w:fldCharType="separate"/>
          </w:r>
          <w:r>
            <w:rPr>
              <w:rFonts w:hint="eastAsia" w:eastAsia="宋体"/>
            </w:rPr>
            <w:t>一、收入支出决算总体情况说明</w:t>
          </w:r>
          <w:r>
            <w:rPr>
              <w:rFonts w:eastAsia="宋体"/>
            </w:rPr>
            <w:tab/>
          </w:r>
          <w:r>
            <w:rPr>
              <w:rFonts w:hint="eastAsia" w:eastAsia="宋体"/>
            </w:rPr>
            <w:fldChar w:fldCharType="end"/>
          </w:r>
          <w:r>
            <w:rPr>
              <w:rFonts w:hint="eastAsia"/>
              <w:lang w:val="en-US" w:eastAsia="zh-CN"/>
            </w:rPr>
            <w:t>18</w:t>
          </w:r>
        </w:p>
        <w:p>
          <w:pPr>
            <w:pStyle w:val="13"/>
            <w:tabs>
              <w:tab w:val="right" w:leader="dot" w:pos="8306"/>
              <w:tab w:val="clear" w:pos="8296"/>
            </w:tabs>
            <w:jc w:val="center"/>
            <w:rPr>
              <w:rFonts w:hint="default" w:eastAsia="宋体"/>
              <w:lang w:val="en-US" w:eastAsia="zh-CN"/>
            </w:rPr>
          </w:pPr>
          <w:r>
            <w:rPr>
              <w:rFonts w:eastAsia="宋体"/>
            </w:rPr>
            <w:fldChar w:fldCharType="begin"/>
          </w:r>
          <w:r>
            <w:rPr>
              <w:rFonts w:eastAsia="宋体"/>
            </w:rPr>
            <w:instrText xml:space="preserve"> HYPERLINK \l "_Toc15396604" </w:instrText>
          </w:r>
          <w:r>
            <w:rPr>
              <w:rFonts w:eastAsia="宋体"/>
            </w:rPr>
            <w:fldChar w:fldCharType="separate"/>
          </w:r>
          <w:r>
            <w:rPr>
              <w:rFonts w:hint="eastAsia" w:eastAsia="宋体"/>
            </w:rPr>
            <w:t>二、收入决算情况说明</w:t>
          </w:r>
          <w:r>
            <w:rPr>
              <w:rFonts w:eastAsia="宋体"/>
            </w:rPr>
            <w:tab/>
          </w:r>
          <w:r>
            <w:rPr>
              <w:rFonts w:hint="eastAsia" w:eastAsia="宋体"/>
            </w:rPr>
            <w:fldChar w:fldCharType="end"/>
          </w:r>
          <w:r>
            <w:rPr>
              <w:rFonts w:hint="eastAsia"/>
              <w:lang w:val="en-US" w:eastAsia="zh-CN"/>
            </w:rPr>
            <w:t>18</w:t>
          </w:r>
        </w:p>
        <w:p>
          <w:pPr>
            <w:pStyle w:val="13"/>
            <w:tabs>
              <w:tab w:val="right" w:leader="dot" w:pos="8306"/>
              <w:tab w:val="clear" w:pos="8296"/>
            </w:tabs>
            <w:jc w:val="center"/>
            <w:rPr>
              <w:rFonts w:hint="default" w:eastAsia="宋体"/>
              <w:lang w:val="en-US" w:eastAsia="zh-CN"/>
            </w:rPr>
          </w:pPr>
          <w:r>
            <w:rPr>
              <w:rFonts w:eastAsia="宋体"/>
            </w:rPr>
            <w:fldChar w:fldCharType="begin"/>
          </w:r>
          <w:r>
            <w:rPr>
              <w:rFonts w:eastAsia="宋体"/>
            </w:rPr>
            <w:instrText xml:space="preserve"> HYPERLINK \l "_Toc15396605" </w:instrText>
          </w:r>
          <w:r>
            <w:rPr>
              <w:rFonts w:eastAsia="宋体"/>
            </w:rPr>
            <w:fldChar w:fldCharType="separate"/>
          </w:r>
          <w:r>
            <w:rPr>
              <w:rFonts w:hint="eastAsia" w:eastAsia="宋体"/>
            </w:rPr>
            <w:t>三、支出决算情况说明</w:t>
          </w:r>
          <w:r>
            <w:rPr>
              <w:rFonts w:eastAsia="宋体"/>
            </w:rPr>
            <w:tab/>
          </w:r>
          <w:r>
            <w:rPr>
              <w:rFonts w:hint="eastAsia" w:eastAsia="宋体"/>
            </w:rPr>
            <w:fldChar w:fldCharType="end"/>
          </w:r>
          <w:r>
            <w:rPr>
              <w:rFonts w:hint="eastAsia"/>
              <w:lang w:val="en-US" w:eastAsia="zh-CN"/>
            </w:rPr>
            <w:t>18</w:t>
          </w:r>
        </w:p>
        <w:p>
          <w:pPr>
            <w:pStyle w:val="13"/>
            <w:tabs>
              <w:tab w:val="right" w:leader="dot" w:pos="8306"/>
              <w:tab w:val="clear" w:pos="8296"/>
            </w:tabs>
            <w:jc w:val="center"/>
            <w:rPr>
              <w:rFonts w:hint="default" w:eastAsia="宋体"/>
              <w:lang w:val="en-US" w:eastAsia="zh-CN"/>
            </w:rPr>
          </w:pPr>
          <w:r>
            <w:rPr>
              <w:rFonts w:eastAsia="宋体"/>
            </w:rPr>
            <w:fldChar w:fldCharType="begin"/>
          </w:r>
          <w:r>
            <w:rPr>
              <w:rFonts w:eastAsia="宋体"/>
            </w:rPr>
            <w:instrText xml:space="preserve"> HYPERLINK \l "_Toc15396606" </w:instrText>
          </w:r>
          <w:r>
            <w:rPr>
              <w:rFonts w:eastAsia="宋体"/>
            </w:rPr>
            <w:fldChar w:fldCharType="separate"/>
          </w:r>
          <w:r>
            <w:rPr>
              <w:rFonts w:hint="eastAsia" w:eastAsia="宋体"/>
            </w:rPr>
            <w:t>四、财政拨款收入支出决算总体情况说明</w:t>
          </w:r>
          <w:r>
            <w:rPr>
              <w:rFonts w:eastAsia="宋体"/>
            </w:rPr>
            <w:tab/>
          </w:r>
          <w:r>
            <w:rPr>
              <w:rFonts w:hint="eastAsia" w:eastAsia="宋体"/>
            </w:rPr>
            <w:fldChar w:fldCharType="end"/>
          </w:r>
          <w:r>
            <w:rPr>
              <w:rFonts w:hint="eastAsia"/>
              <w:lang w:val="en-US" w:eastAsia="zh-CN"/>
            </w:rPr>
            <w:t>18</w:t>
          </w:r>
        </w:p>
        <w:p>
          <w:pPr>
            <w:pStyle w:val="13"/>
            <w:tabs>
              <w:tab w:val="right" w:leader="dot" w:pos="8306"/>
              <w:tab w:val="clear" w:pos="8296"/>
            </w:tabs>
            <w:jc w:val="center"/>
            <w:rPr>
              <w:rFonts w:hint="default" w:eastAsia="宋体"/>
              <w:lang w:val="en-US" w:eastAsia="zh-CN"/>
            </w:rPr>
          </w:pPr>
          <w:r>
            <w:rPr>
              <w:rFonts w:eastAsia="宋体"/>
            </w:rPr>
            <w:fldChar w:fldCharType="begin"/>
          </w:r>
          <w:r>
            <w:rPr>
              <w:rFonts w:eastAsia="宋体"/>
            </w:rPr>
            <w:instrText xml:space="preserve"> HYPERLINK \l "_Toc15396607" </w:instrText>
          </w:r>
          <w:r>
            <w:rPr>
              <w:rFonts w:eastAsia="宋体"/>
            </w:rPr>
            <w:fldChar w:fldCharType="separate"/>
          </w:r>
          <w:r>
            <w:rPr>
              <w:rFonts w:hint="eastAsia" w:eastAsia="宋体"/>
            </w:rPr>
            <w:t>五、一般公共预算财政拨款支出决算情况说明</w:t>
          </w:r>
          <w:r>
            <w:rPr>
              <w:rFonts w:eastAsia="宋体"/>
            </w:rPr>
            <w:tab/>
          </w:r>
          <w:r>
            <w:rPr>
              <w:rFonts w:hint="eastAsia" w:eastAsia="宋体"/>
            </w:rPr>
            <w:fldChar w:fldCharType="end"/>
          </w:r>
          <w:r>
            <w:rPr>
              <w:rFonts w:hint="eastAsia"/>
              <w:lang w:val="en-US" w:eastAsia="zh-CN"/>
            </w:rPr>
            <w:t>18</w:t>
          </w:r>
        </w:p>
        <w:p>
          <w:pPr>
            <w:pStyle w:val="13"/>
            <w:tabs>
              <w:tab w:val="right" w:leader="dot" w:pos="8306"/>
              <w:tab w:val="clear" w:pos="8296"/>
            </w:tabs>
            <w:jc w:val="center"/>
            <w:rPr>
              <w:rFonts w:hint="default" w:eastAsia="宋体"/>
              <w:lang w:eastAsia="zh-CN"/>
            </w:rPr>
          </w:pPr>
          <w:r>
            <w:rPr>
              <w:rFonts w:eastAsia="宋体"/>
            </w:rPr>
            <w:fldChar w:fldCharType="begin"/>
          </w:r>
          <w:r>
            <w:rPr>
              <w:rFonts w:eastAsia="宋体"/>
            </w:rPr>
            <w:instrText xml:space="preserve"> HYPERLINK \l "_Toc15396608" </w:instrText>
          </w:r>
          <w:r>
            <w:rPr>
              <w:rFonts w:eastAsia="宋体"/>
            </w:rPr>
            <w:fldChar w:fldCharType="separate"/>
          </w:r>
          <w:r>
            <w:rPr>
              <w:rFonts w:hint="eastAsia" w:eastAsia="宋体"/>
            </w:rPr>
            <w:t>六、一般公共预算财政拨款基本支出决算情况说明</w:t>
          </w:r>
          <w:r>
            <w:rPr>
              <w:rFonts w:eastAsia="宋体"/>
            </w:rPr>
            <w:tab/>
          </w:r>
          <w:r>
            <w:rPr>
              <w:rFonts w:hint="eastAsia"/>
              <w:lang w:val="en-US" w:eastAsia="zh-CN"/>
            </w:rPr>
            <w:t>1</w:t>
          </w:r>
          <w:r>
            <w:rPr>
              <w:rFonts w:hint="eastAsia" w:eastAsia="宋体"/>
            </w:rPr>
            <w:fldChar w:fldCharType="end"/>
          </w:r>
          <w:r>
            <w:rPr>
              <w:rFonts w:hint="eastAsia"/>
              <w:lang w:val="en-US" w:eastAsia="zh-CN"/>
            </w:rPr>
            <w:t>8</w:t>
          </w:r>
        </w:p>
        <w:p>
          <w:pPr>
            <w:pStyle w:val="13"/>
            <w:tabs>
              <w:tab w:val="right" w:leader="dot" w:pos="8306"/>
              <w:tab w:val="clear" w:pos="8296"/>
            </w:tabs>
            <w:jc w:val="center"/>
            <w:rPr>
              <w:rFonts w:hint="default" w:eastAsia="宋体"/>
              <w:lang w:val="en-US" w:eastAsia="zh-CN"/>
            </w:rPr>
          </w:pPr>
          <w:r>
            <w:rPr>
              <w:rFonts w:eastAsia="宋体"/>
            </w:rPr>
            <w:fldChar w:fldCharType="begin"/>
          </w:r>
          <w:r>
            <w:rPr>
              <w:rFonts w:eastAsia="宋体"/>
            </w:rPr>
            <w:instrText xml:space="preserve"> HYPERLINK \l "_Toc15396609" </w:instrText>
          </w:r>
          <w:r>
            <w:rPr>
              <w:rFonts w:eastAsia="宋体"/>
            </w:rPr>
            <w:fldChar w:fldCharType="separate"/>
          </w:r>
          <w:r>
            <w:rPr>
              <w:rFonts w:hint="eastAsia" w:eastAsia="宋体"/>
            </w:rPr>
            <w:t>七、“三公”经费财政拨款支出决算情况说明</w:t>
          </w:r>
          <w:r>
            <w:rPr>
              <w:rFonts w:eastAsia="宋体"/>
            </w:rPr>
            <w:tab/>
          </w:r>
          <w:r>
            <w:rPr>
              <w:rFonts w:hint="eastAsia" w:eastAsia="宋体"/>
            </w:rPr>
            <w:fldChar w:fldCharType="end"/>
          </w:r>
          <w:r>
            <w:rPr>
              <w:rFonts w:hint="eastAsia"/>
              <w:lang w:val="en-US" w:eastAsia="zh-CN"/>
            </w:rPr>
            <w:t>18</w:t>
          </w:r>
        </w:p>
        <w:p>
          <w:pPr>
            <w:pStyle w:val="13"/>
            <w:tabs>
              <w:tab w:val="right" w:leader="dot" w:pos="8306"/>
              <w:tab w:val="clear" w:pos="8296"/>
            </w:tabs>
            <w:jc w:val="center"/>
            <w:rPr>
              <w:rFonts w:hint="default" w:eastAsia="宋体"/>
              <w:lang w:eastAsia="zh-CN"/>
            </w:rPr>
          </w:pPr>
          <w:r>
            <w:rPr>
              <w:rFonts w:eastAsia="宋体"/>
            </w:rPr>
            <w:fldChar w:fldCharType="begin"/>
          </w:r>
          <w:r>
            <w:rPr>
              <w:rFonts w:eastAsia="宋体"/>
            </w:rPr>
            <w:instrText xml:space="preserve"> HYPERLINK \l "_Toc15396610" </w:instrText>
          </w:r>
          <w:r>
            <w:rPr>
              <w:rFonts w:eastAsia="宋体"/>
            </w:rPr>
            <w:fldChar w:fldCharType="separate"/>
          </w:r>
          <w:r>
            <w:rPr>
              <w:rFonts w:hint="eastAsia" w:eastAsia="宋体"/>
            </w:rPr>
            <w:t>八、政府性基金预算支出决算情况说明</w:t>
          </w:r>
          <w:r>
            <w:rPr>
              <w:rFonts w:eastAsia="宋体"/>
            </w:rPr>
            <w:tab/>
          </w:r>
          <w:r>
            <w:rPr>
              <w:rFonts w:hint="eastAsia"/>
              <w:lang w:val="en-US" w:eastAsia="zh-CN"/>
            </w:rPr>
            <w:t>1</w:t>
          </w:r>
          <w:r>
            <w:rPr>
              <w:rFonts w:hint="eastAsia" w:eastAsia="宋体"/>
            </w:rPr>
            <w:fldChar w:fldCharType="end"/>
          </w:r>
          <w:r>
            <w:rPr>
              <w:rFonts w:hint="eastAsia"/>
              <w:lang w:val="en-US" w:eastAsia="zh-CN"/>
            </w:rPr>
            <w:t>8</w:t>
          </w:r>
        </w:p>
        <w:p>
          <w:pPr>
            <w:pStyle w:val="13"/>
            <w:tabs>
              <w:tab w:val="right" w:leader="dot" w:pos="8306"/>
              <w:tab w:val="clear" w:pos="8296"/>
            </w:tabs>
            <w:jc w:val="center"/>
            <w:rPr>
              <w:rFonts w:hint="eastAsia" w:eastAsia="宋体"/>
              <w:lang w:val="en-US" w:eastAsia="zh-CN"/>
            </w:rPr>
          </w:pPr>
          <w:r>
            <w:rPr>
              <w:rFonts w:eastAsia="宋体"/>
            </w:rPr>
            <w:fldChar w:fldCharType="begin"/>
          </w:r>
          <w:r>
            <w:rPr>
              <w:rFonts w:eastAsia="宋体"/>
            </w:rPr>
            <w:instrText xml:space="preserve"> HYPERLINK \l _Toc88328222 </w:instrText>
          </w:r>
          <w:r>
            <w:rPr>
              <w:rFonts w:eastAsia="宋体"/>
            </w:rPr>
            <w:fldChar w:fldCharType="separate"/>
          </w:r>
          <w:r>
            <w:rPr>
              <w:rFonts w:hint="eastAsia" w:eastAsia="宋体"/>
            </w:rPr>
            <w:t>九、一般公共预算财政拨款项目支出决算表</w:t>
          </w:r>
          <w:r>
            <w:rPr>
              <w:rFonts w:eastAsia="宋体"/>
            </w:rPr>
            <w:tab/>
          </w:r>
          <w:r>
            <w:rPr>
              <w:rFonts w:hint="eastAsia"/>
              <w:lang w:val="en-US" w:eastAsia="zh-CN"/>
            </w:rPr>
            <w:t>1</w:t>
          </w:r>
          <w:r>
            <w:rPr>
              <w:rFonts w:eastAsia="宋体"/>
            </w:rPr>
            <w:fldChar w:fldCharType="end"/>
          </w:r>
          <w:r>
            <w:rPr>
              <w:rFonts w:hint="eastAsia"/>
              <w:lang w:val="en-US" w:eastAsia="zh-CN"/>
            </w:rPr>
            <w:t>8</w:t>
          </w:r>
        </w:p>
        <w:p>
          <w:pPr>
            <w:pStyle w:val="13"/>
            <w:tabs>
              <w:tab w:val="right" w:leader="dot" w:pos="8306"/>
              <w:tab w:val="clear" w:pos="8296"/>
            </w:tabs>
            <w:jc w:val="center"/>
            <w:rPr>
              <w:rFonts w:hint="eastAsia" w:eastAsia="宋体"/>
              <w:lang w:val="en-US" w:eastAsia="zh-CN"/>
            </w:rPr>
          </w:pPr>
          <w:r>
            <w:rPr>
              <w:rFonts w:eastAsia="宋体"/>
            </w:rPr>
            <w:fldChar w:fldCharType="begin"/>
          </w:r>
          <w:r>
            <w:rPr>
              <w:rFonts w:eastAsia="宋体"/>
            </w:rPr>
            <w:instrText xml:space="preserve"> HYPERLINK \l _Toc1761893496 </w:instrText>
          </w:r>
          <w:r>
            <w:rPr>
              <w:rFonts w:eastAsia="宋体"/>
            </w:rPr>
            <w:fldChar w:fldCharType="separate"/>
          </w:r>
          <w:r>
            <w:rPr>
              <w:rFonts w:hint="eastAsia" w:eastAsia="宋体"/>
            </w:rPr>
            <w:t>十、政府性基金预算财政拨款收入支出决算表</w:t>
          </w:r>
          <w:r>
            <w:rPr>
              <w:rFonts w:eastAsia="宋体"/>
            </w:rPr>
            <w:tab/>
          </w:r>
          <w:r>
            <w:rPr>
              <w:rFonts w:hint="eastAsia"/>
              <w:lang w:val="en-US" w:eastAsia="zh-CN"/>
            </w:rPr>
            <w:t>1</w:t>
          </w:r>
          <w:r>
            <w:rPr>
              <w:rFonts w:eastAsia="宋体"/>
            </w:rPr>
            <w:fldChar w:fldCharType="end"/>
          </w:r>
          <w:r>
            <w:rPr>
              <w:rFonts w:hint="eastAsia"/>
              <w:lang w:val="en-US" w:eastAsia="zh-CN"/>
            </w:rPr>
            <w:t>8</w:t>
          </w:r>
        </w:p>
        <w:p>
          <w:pPr>
            <w:pStyle w:val="13"/>
            <w:tabs>
              <w:tab w:val="right" w:leader="dot" w:pos="8306"/>
              <w:tab w:val="clear" w:pos="8296"/>
            </w:tabs>
            <w:jc w:val="center"/>
            <w:rPr>
              <w:rFonts w:hint="eastAsia" w:eastAsia="宋体"/>
              <w:lang w:val="en-US" w:eastAsia="zh-CN"/>
            </w:rPr>
          </w:pPr>
          <w:r>
            <w:rPr>
              <w:rFonts w:eastAsia="宋体"/>
            </w:rPr>
            <w:fldChar w:fldCharType="begin"/>
          </w:r>
          <w:r>
            <w:rPr>
              <w:rFonts w:eastAsia="宋体"/>
            </w:rPr>
            <w:instrText xml:space="preserve"> HYPERLINK \l _Toc51741060 </w:instrText>
          </w:r>
          <w:r>
            <w:rPr>
              <w:rFonts w:eastAsia="宋体"/>
            </w:rPr>
            <w:fldChar w:fldCharType="separate"/>
          </w:r>
          <w:r>
            <w:rPr>
              <w:rFonts w:hint="eastAsia" w:eastAsia="宋体"/>
            </w:rPr>
            <w:t>十</w:t>
          </w:r>
          <w:r>
            <w:rPr>
              <w:rFonts w:hint="default" w:eastAsia="宋体"/>
            </w:rPr>
            <w:t>一</w:t>
          </w:r>
          <w:r>
            <w:rPr>
              <w:rFonts w:hint="eastAsia" w:eastAsia="宋体"/>
            </w:rPr>
            <w:t>、国有资本经营预算财政拨款收入支出决算表</w:t>
          </w:r>
          <w:r>
            <w:rPr>
              <w:rFonts w:eastAsia="宋体"/>
            </w:rPr>
            <w:tab/>
          </w:r>
          <w:r>
            <w:rPr>
              <w:rFonts w:hint="eastAsia"/>
              <w:lang w:val="en-US" w:eastAsia="zh-CN"/>
            </w:rPr>
            <w:t>1</w:t>
          </w:r>
          <w:r>
            <w:rPr>
              <w:rFonts w:eastAsia="宋体"/>
            </w:rPr>
            <w:fldChar w:fldCharType="end"/>
          </w:r>
          <w:r>
            <w:rPr>
              <w:rFonts w:hint="eastAsia"/>
              <w:lang w:val="en-US" w:eastAsia="zh-CN"/>
            </w:rPr>
            <w:t>8</w:t>
          </w:r>
        </w:p>
        <w:p>
          <w:pPr>
            <w:pStyle w:val="13"/>
            <w:tabs>
              <w:tab w:val="right" w:leader="dot" w:pos="8306"/>
              <w:tab w:val="clear" w:pos="8296"/>
            </w:tabs>
            <w:jc w:val="center"/>
            <w:rPr>
              <w:rFonts w:hint="eastAsia" w:eastAsia="宋体"/>
              <w:lang w:val="en-US" w:eastAsia="zh-CN"/>
            </w:rPr>
          </w:pPr>
          <w:r>
            <w:rPr>
              <w:rFonts w:eastAsia="宋体"/>
            </w:rPr>
            <w:fldChar w:fldCharType="begin"/>
          </w:r>
          <w:r>
            <w:rPr>
              <w:rFonts w:eastAsia="宋体"/>
            </w:rPr>
            <w:instrText xml:space="preserve"> HYPERLINK \l _Toc1967193408 </w:instrText>
          </w:r>
          <w:r>
            <w:rPr>
              <w:rFonts w:eastAsia="宋体"/>
            </w:rPr>
            <w:fldChar w:fldCharType="separate"/>
          </w:r>
          <w:r>
            <w:rPr>
              <w:rFonts w:hint="eastAsia" w:eastAsia="宋体"/>
            </w:rPr>
            <w:t>十</w:t>
          </w:r>
          <w:r>
            <w:rPr>
              <w:rFonts w:hint="default" w:eastAsia="宋体"/>
            </w:rPr>
            <w:t>二</w:t>
          </w:r>
          <w:r>
            <w:rPr>
              <w:rFonts w:hint="eastAsia" w:eastAsia="宋体"/>
            </w:rPr>
            <w:t>、国有资本经营预算财政拨款支出决算表</w:t>
          </w:r>
          <w:r>
            <w:rPr>
              <w:rFonts w:eastAsia="宋体"/>
            </w:rPr>
            <w:tab/>
          </w:r>
          <w:r>
            <w:rPr>
              <w:rFonts w:hint="eastAsia"/>
              <w:lang w:val="en-US" w:eastAsia="zh-CN"/>
            </w:rPr>
            <w:t>1</w:t>
          </w:r>
          <w:r>
            <w:rPr>
              <w:rFonts w:eastAsia="宋体"/>
            </w:rPr>
            <w:fldChar w:fldCharType="end"/>
          </w:r>
          <w:r>
            <w:rPr>
              <w:rFonts w:hint="eastAsia"/>
              <w:lang w:val="en-US" w:eastAsia="zh-CN"/>
            </w:rPr>
            <w:t>8</w:t>
          </w:r>
        </w:p>
        <w:p>
          <w:pPr>
            <w:pStyle w:val="13"/>
            <w:tabs>
              <w:tab w:val="right" w:leader="dot" w:pos="8306"/>
              <w:tab w:val="clear" w:pos="8296"/>
            </w:tabs>
            <w:jc w:val="center"/>
            <w:rPr>
              <w:rFonts w:hint="eastAsia" w:eastAsia="宋体"/>
              <w:lang w:val="en-US" w:eastAsia="zh-CN"/>
            </w:rPr>
          </w:pPr>
          <w:r>
            <w:rPr>
              <w:rFonts w:eastAsia="宋体"/>
            </w:rPr>
            <w:fldChar w:fldCharType="begin"/>
          </w:r>
          <w:r>
            <w:rPr>
              <w:rFonts w:eastAsia="宋体"/>
            </w:rPr>
            <w:instrText xml:space="preserve"> HYPERLINK \l _Toc1987665370 </w:instrText>
          </w:r>
          <w:r>
            <w:rPr>
              <w:rFonts w:eastAsia="宋体"/>
            </w:rPr>
            <w:fldChar w:fldCharType="separate"/>
          </w:r>
          <w:r>
            <w:rPr>
              <w:rFonts w:hint="eastAsia" w:eastAsia="宋体"/>
              <w:lang w:eastAsia="zh-CN"/>
            </w:rPr>
            <w:t>十三、财政拨款“三公”经费支出决算表</w:t>
          </w:r>
          <w:r>
            <w:rPr>
              <w:rFonts w:eastAsia="宋体"/>
            </w:rPr>
            <w:tab/>
          </w:r>
          <w:r>
            <w:rPr>
              <w:rFonts w:hint="eastAsia"/>
              <w:lang w:val="en-US" w:eastAsia="zh-CN"/>
            </w:rPr>
            <w:t>1</w:t>
          </w:r>
          <w:r>
            <w:rPr>
              <w:rFonts w:eastAsia="宋体"/>
            </w:rPr>
            <w:fldChar w:fldCharType="end"/>
          </w:r>
          <w:r>
            <w:rPr>
              <w:rFonts w:hint="eastAsia"/>
              <w:lang w:val="en-US" w:eastAsia="zh-CN"/>
            </w:rPr>
            <w:t>8</w:t>
          </w:r>
        </w:p>
        <w:p>
          <w:pPr>
            <w:pStyle w:val="13"/>
            <w:tabs>
              <w:tab w:val="right" w:leader="dot" w:pos="8306"/>
              <w:tab w:val="clear" w:pos="8296"/>
            </w:tabs>
            <w:rPr>
              <w:rFonts w:eastAsia="宋体"/>
            </w:rPr>
          </w:pPr>
          <w:r>
            <w:rPr>
              <w:rFonts w:eastAsia="宋体"/>
            </w:rPr>
            <w:fldChar w:fldCharType="end"/>
          </w:r>
        </w:p>
      </w:sdtContent>
    </w:sdt>
    <w:p>
      <w:pPr>
        <w:pStyle w:val="13"/>
        <w:tabs>
          <w:tab w:val="right" w:leader="dot" w:pos="8306"/>
          <w:tab w:val="clear" w:pos="8296"/>
        </w:tabs>
        <w:rPr>
          <w:rFonts w:cstheme="minorBidi"/>
          <w:u w:color="FFFFFF" w:themeColor="background1"/>
        </w:rPr>
      </w:pPr>
      <w:r>
        <w:rPr>
          <w:rFonts w:hint="eastAsia" w:eastAsia="宋体"/>
        </w:rPr>
        <w:fldChar w:fldCharType="end"/>
      </w:r>
    </w:p>
    <w:p>
      <w:pPr>
        <w:widowControl/>
        <w:spacing w:line="576" w:lineRule="exact"/>
        <w:rPr>
          <w:rFonts w:ascii="仿宋" w:hAnsi="仿宋" w:eastAsia="仿宋"/>
          <w:b/>
          <w:sz w:val="24"/>
        </w:rPr>
      </w:pPr>
      <w:bookmarkStart w:id="24" w:name="_Toc15377196"/>
      <w:r>
        <w:rPr>
          <w:rFonts w:ascii="仿宋" w:hAnsi="仿宋" w:eastAsia="仿宋"/>
          <w:b/>
          <w:sz w:val="24"/>
        </w:rPr>
        <w:br w:type="page"/>
      </w:r>
    </w:p>
    <w:p>
      <w:pPr>
        <w:pStyle w:val="2"/>
      </w:pPr>
    </w:p>
    <w:p>
      <w:pPr>
        <w:numPr>
          <w:ilvl w:val="0"/>
          <w:numId w:val="1"/>
        </w:numPr>
        <w:spacing w:line="576" w:lineRule="exact"/>
        <w:jc w:val="center"/>
      </w:pPr>
      <w:bookmarkStart w:id="25" w:name="_Toc1429363354"/>
      <w:bookmarkStart w:id="26" w:name="_Toc688699166"/>
      <w:bookmarkStart w:id="27" w:name="_Toc1347472748"/>
      <w:r>
        <w:rPr>
          <w:rStyle w:val="27"/>
          <w:rFonts w:hint="eastAsia" w:ascii="方正小标宋简体" w:hAnsi="方正小标宋简体" w:eastAsia="方正小标宋简体" w:cs="方正小标宋简体"/>
          <w:b w:val="0"/>
          <w:bCs w:val="0"/>
          <w:lang w:val="en-US" w:eastAsia="zh-CN"/>
        </w:rPr>
        <w:t>单位</w:t>
      </w:r>
      <w:r>
        <w:rPr>
          <w:rStyle w:val="27"/>
          <w:rFonts w:hint="eastAsia" w:ascii="方正小标宋简体" w:hAnsi="方正小标宋简体" w:eastAsia="方正小标宋简体" w:cs="方正小标宋简体"/>
          <w:b w:val="0"/>
          <w:bCs w:val="0"/>
        </w:rPr>
        <w:t>概况</w:t>
      </w:r>
      <w:bookmarkEnd w:id="24"/>
      <w:bookmarkEnd w:id="25"/>
      <w:bookmarkEnd w:id="26"/>
      <w:bookmarkEnd w:id="27"/>
    </w:p>
    <w:p>
      <w:pPr>
        <w:spacing w:line="576" w:lineRule="exact"/>
        <w:jc w:val="left"/>
        <w:rPr>
          <w:rFonts w:hint="eastAsia" w:ascii="仿宋" w:hAnsi="仿宋" w:eastAsia="仿宋"/>
          <w:bCs/>
          <w:sz w:val="32"/>
          <w:szCs w:val="32"/>
          <w:lang w:val="en-US" w:eastAsia="zh-CN"/>
        </w:rPr>
      </w:pPr>
      <w:bookmarkStart w:id="28" w:name="_Toc15377198"/>
      <w:bookmarkStart w:id="29" w:name="_Toc15378445"/>
    </w:p>
    <w:p>
      <w:pPr>
        <w:spacing w:line="576" w:lineRule="exact"/>
        <w:ind w:firstLine="640" w:firstLineChars="200"/>
        <w:jc w:val="left"/>
        <w:rPr>
          <w:rFonts w:ascii="仿宋" w:hAnsi="仿宋" w:eastAsia="仿宋"/>
          <w:bCs/>
          <w:sz w:val="32"/>
          <w:szCs w:val="32"/>
        </w:rPr>
      </w:pPr>
      <w:r>
        <w:rPr>
          <w:rFonts w:hint="eastAsia" w:ascii="黑体" w:hAnsi="黑体" w:eastAsia="黑体" w:cs="黑体"/>
          <w:bCs/>
          <w:sz w:val="32"/>
          <w:szCs w:val="32"/>
          <w:lang w:val="en-US" w:eastAsia="zh-CN"/>
        </w:rPr>
        <w:t>一、</w:t>
      </w:r>
      <w:r>
        <w:rPr>
          <w:rFonts w:hint="eastAsia" w:ascii="黑体" w:hAnsi="黑体" w:eastAsia="黑体" w:cs="黑体"/>
          <w:bCs/>
          <w:sz w:val="32"/>
          <w:szCs w:val="32"/>
        </w:rPr>
        <w:t>主要职</w:t>
      </w:r>
      <w:r>
        <w:rPr>
          <w:rFonts w:hint="eastAsia" w:ascii="黑体" w:hAnsi="黑体" w:eastAsia="黑体" w:cs="黑体"/>
          <w:bCs/>
          <w:sz w:val="32"/>
          <w:szCs w:val="32"/>
          <w:lang w:val="en-US" w:eastAsia="zh-CN"/>
        </w:rPr>
        <w:t>责</w:t>
      </w:r>
      <w:r>
        <w:rPr>
          <w:rFonts w:hint="eastAsia" w:ascii="黑体" w:hAnsi="黑体" w:eastAsia="黑体" w:cs="黑体"/>
          <w:bCs/>
          <w:sz w:val="32"/>
          <w:szCs w:val="32"/>
        </w:rPr>
        <w:t>。</w:t>
      </w:r>
      <w:bookmarkEnd w:id="28"/>
      <w:bookmarkEnd w:id="29"/>
    </w:p>
    <w:p>
      <w:pPr>
        <w:pStyle w:val="2"/>
        <w:adjustRightInd w:val="0"/>
        <w:snapToGrid w:val="0"/>
        <w:spacing w:beforeLines="0" w:line="576" w:lineRule="exact"/>
        <w:ind w:firstLine="672" w:firstLineChars="210"/>
        <w:jc w:val="left"/>
        <w:rPr>
          <w:rFonts w:hint="eastAsia" w:hAnsi="楷体_GB2312" w:cs="楷体_GB2312"/>
          <w:color w:val="000000"/>
          <w:sz w:val="32"/>
          <w:szCs w:val="32"/>
          <w:lang w:val="en-US" w:eastAsia="zh-CN"/>
        </w:rPr>
      </w:pPr>
      <w:r>
        <w:rPr>
          <w:rFonts w:hint="eastAsia" w:hAnsi="楷体_GB2312" w:cs="楷体_GB2312"/>
          <w:color w:val="000000"/>
          <w:sz w:val="32"/>
          <w:szCs w:val="32"/>
        </w:rPr>
        <w:t>主要职责为：负责辖区内党建、基层党组织建设、宣传、精准扶贫、农林畜牧、安全生产、信访维稳、项目建设、房屋征收与补偿、计划生育、民政、劳动就业、社会保障、环境保护等工作。</w:t>
      </w:r>
      <w:r>
        <w:rPr>
          <w:rFonts w:hint="eastAsia" w:hAnsi="楷体_GB2312" w:cs="楷体_GB2312"/>
          <w:color w:val="000000"/>
          <w:sz w:val="32"/>
          <w:szCs w:val="32"/>
          <w:lang w:val="en-US" w:eastAsia="zh-CN"/>
        </w:rPr>
        <w:t xml:space="preserve">    </w:t>
      </w:r>
    </w:p>
    <w:p>
      <w:pPr>
        <w:pStyle w:val="3"/>
        <w:rPr>
          <w:rFonts w:hint="eastAsia" w:ascii="黑体" w:hAnsi="黑体" w:eastAsia="黑体" w:cs="黑体"/>
          <w:lang w:val="en-US" w:eastAsia="zh-CN"/>
        </w:rPr>
      </w:pPr>
      <w:r>
        <w:rPr>
          <w:rFonts w:hint="eastAsia" w:hAnsi="楷体_GB2312" w:cs="楷体_GB2312"/>
          <w:color w:val="000000"/>
          <w:sz w:val="32"/>
          <w:szCs w:val="32"/>
          <w:lang w:val="en-US" w:eastAsia="zh-CN"/>
        </w:rPr>
        <w:t xml:space="preserve">  </w:t>
      </w:r>
      <w:r>
        <w:rPr>
          <w:rFonts w:hint="eastAsia" w:ascii="黑体" w:hAnsi="黑体" w:eastAsia="黑体" w:cs="黑体"/>
          <w:color w:val="000000"/>
          <w:sz w:val="32"/>
          <w:szCs w:val="32"/>
          <w:lang w:val="en-US" w:eastAsia="zh-CN"/>
        </w:rPr>
        <w:t xml:space="preserve">  二、机构设置</w:t>
      </w:r>
    </w:p>
    <w:p>
      <w:pPr>
        <w:spacing w:line="560" w:lineRule="exact"/>
        <w:ind w:firstLine="640" w:firstLineChars="200"/>
        <w:jc w:val="left"/>
        <w:rPr>
          <w:rFonts w:ascii="仿宋" w:hAnsi="仿宋" w:eastAsia="仿宋" w:cs="微软雅黑"/>
          <w:color w:val="333333"/>
          <w:sz w:val="32"/>
          <w:szCs w:val="32"/>
          <w:shd w:val="clear" w:color="auto" w:fill="FFFFFF"/>
        </w:rPr>
      </w:pPr>
      <w:r>
        <w:rPr>
          <w:rFonts w:hint="eastAsia" w:ascii="仿宋" w:hAnsi="仿宋" w:eastAsia="仿宋" w:cs="仿宋_GB2312"/>
          <w:color w:val="333333"/>
          <w:sz w:val="32"/>
          <w:szCs w:val="32"/>
          <w:shd w:val="clear" w:color="auto" w:fill="FFFFFF"/>
        </w:rPr>
        <w:t>石龙街道办事处地处嘉陵江、白龙江、清水河三江交汇处，隶属广元经济技术开发区</w:t>
      </w:r>
      <w:r>
        <w:rPr>
          <w:rFonts w:hint="eastAsia" w:ascii="仿宋" w:hAnsi="仿宋" w:eastAsia="仿宋" w:cs="仿宋_GB2312"/>
          <w:color w:val="333333"/>
          <w:sz w:val="32"/>
          <w:szCs w:val="32"/>
          <w:shd w:val="clear" w:color="auto" w:fill="FFFFFF"/>
          <w:lang w:val="en-US" w:eastAsia="zh-CN"/>
        </w:rPr>
        <w:t>管理委员会</w:t>
      </w:r>
      <w:r>
        <w:rPr>
          <w:rFonts w:hint="eastAsia" w:ascii="仿宋" w:hAnsi="仿宋" w:eastAsia="仿宋" w:cs="仿宋_GB2312"/>
          <w:color w:val="333333"/>
          <w:sz w:val="32"/>
          <w:szCs w:val="32"/>
          <w:shd w:val="clear" w:color="auto" w:fill="FFFFFF"/>
        </w:rPr>
        <w:t>。街道辖3村4社区（肖家村、石龙村、摆宴村、双龙社区、白龙社区、石门社区、坪雾社区），面积22平方公里，人口1.2万余人。</w:t>
      </w:r>
      <w:r>
        <w:rPr>
          <w:rFonts w:hint="eastAsia" w:ascii="仿宋" w:hAnsi="仿宋" w:eastAsia="仿宋" w:cs="仿宋_GB2312"/>
          <w:sz w:val="32"/>
          <w:szCs w:val="32"/>
          <w:lang w:val="en-US" w:eastAsia="zh-CN"/>
        </w:rPr>
        <w:t>截止2022年12月31日</w:t>
      </w:r>
      <w:r>
        <w:rPr>
          <w:rFonts w:hint="eastAsia" w:ascii="仿宋" w:hAnsi="仿宋" w:eastAsia="仿宋" w:cs="仿宋_GB2312"/>
          <w:sz w:val="32"/>
          <w:szCs w:val="32"/>
        </w:rPr>
        <w:t>财政供养人数2</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人，其中：在职正式干部1</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名，聘用干部16名。</w:t>
      </w:r>
    </w:p>
    <w:p>
      <w:pPr>
        <w:pStyle w:val="3"/>
        <w:jc w:val="left"/>
        <w:rPr>
          <w:rFonts w:hint="eastAsia" w:ascii="仿宋_GB2312" w:hAnsi="仿宋_GB2312" w:eastAsia="仿宋_GB2312" w:cs="仿宋_GB2312"/>
          <w:color w:val="000000"/>
          <w:kern w:val="0"/>
          <w:sz w:val="32"/>
          <w:szCs w:val="32"/>
          <w:shd w:val="clear" w:color="auto" w:fill="FFFFFF"/>
        </w:rPr>
      </w:pPr>
    </w:p>
    <w:p>
      <w:pPr>
        <w:keepNext/>
        <w:keepLines/>
        <w:numPr>
          <w:ilvl w:val="0"/>
          <w:numId w:val="1"/>
        </w:numPr>
        <w:spacing w:line="576" w:lineRule="exact"/>
        <w:ind w:right="442"/>
        <w:jc w:val="center"/>
        <w:rPr>
          <w:rStyle w:val="27"/>
          <w:rFonts w:ascii="方正小标宋简体" w:hAnsi="方正小标宋简体" w:eastAsia="方正小标宋简体" w:cs="方正小标宋简体"/>
          <w:b w:val="0"/>
        </w:rPr>
      </w:pPr>
      <w:bookmarkStart w:id="30" w:name="_Toc15377204"/>
      <w:bookmarkStart w:id="31" w:name="_Toc15396602"/>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2</w:t>
      </w:r>
      <w:r>
        <w:rPr>
          <w:rFonts w:hint="eastAsia" w:ascii="方正小标宋简体" w:hAnsi="方正小标宋简体" w:eastAsia="方正小标宋简体" w:cs="方正小标宋简体"/>
          <w:bCs/>
          <w:sz w:val="44"/>
          <w:szCs w:val="44"/>
        </w:rPr>
        <w:t>年度</w:t>
      </w:r>
      <w:r>
        <w:rPr>
          <w:rStyle w:val="27"/>
          <w:rFonts w:hint="eastAsia" w:ascii="方正小标宋简体" w:hAnsi="方正小标宋简体" w:eastAsia="方正小标宋简体" w:cs="方正小标宋简体"/>
          <w:b w:val="0"/>
          <w:lang w:val="en-US" w:eastAsia="zh-CN"/>
        </w:rPr>
        <w:t>单位</w:t>
      </w:r>
      <w:r>
        <w:rPr>
          <w:rStyle w:val="27"/>
          <w:rFonts w:hint="eastAsia" w:ascii="方正小标宋简体" w:hAnsi="方正小标宋简体" w:eastAsia="方正小标宋简体" w:cs="方正小标宋简体"/>
          <w:b w:val="0"/>
        </w:rPr>
        <w:t>决算情况说明</w:t>
      </w:r>
      <w:bookmarkEnd w:id="30"/>
      <w:bookmarkEnd w:id="31"/>
    </w:p>
    <w:p>
      <w:pPr>
        <w:pStyle w:val="2"/>
        <w:spacing w:before="93"/>
        <w:jc w:val="left"/>
      </w:pPr>
    </w:p>
    <w:p>
      <w:pPr>
        <w:pStyle w:val="26"/>
        <w:numPr>
          <w:ilvl w:val="0"/>
          <w:numId w:val="2"/>
        </w:numPr>
        <w:spacing w:line="576" w:lineRule="exact"/>
        <w:ind w:firstLineChars="0"/>
        <w:jc w:val="both"/>
        <w:outlineLvl w:val="1"/>
        <w:rPr>
          <w:rStyle w:val="28"/>
          <w:rFonts w:ascii="黑体" w:hAnsi="黑体" w:eastAsia="黑体"/>
          <w:b w:val="0"/>
        </w:rPr>
      </w:pPr>
      <w:bookmarkStart w:id="32" w:name="_Toc15377205"/>
      <w:bookmarkStart w:id="33" w:name="_Toc1186656206"/>
      <w:bookmarkStart w:id="34" w:name="_Toc1799821105"/>
      <w:bookmarkStart w:id="35" w:name="_Toc1968869021"/>
      <w:bookmarkStart w:id="36"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32"/>
      <w:bookmarkEnd w:id="33"/>
      <w:bookmarkEnd w:id="34"/>
      <w:bookmarkEnd w:id="35"/>
      <w:bookmarkEnd w:id="36"/>
    </w:p>
    <w:p>
      <w:pPr>
        <w:spacing w:line="576" w:lineRule="exact"/>
        <w:ind w:firstLine="640"/>
        <w:jc w:val="left"/>
        <w:rPr>
          <w:rFonts w:hint="eastAsia"/>
          <w:lang w:val="en-US" w:eastAsia="zh-CN"/>
        </w:rPr>
      </w:pPr>
      <w:r>
        <w:rPr>
          <w:rFonts w:hint="eastAsia" w:ascii="仿宋" w:hAnsi="仿宋" w:eastAsia="仿宋"/>
          <w:sz w:val="32"/>
          <w:szCs w:val="32"/>
        </w:rPr>
        <w:t>2021年度收</w:t>
      </w:r>
      <w:r>
        <w:rPr>
          <w:rFonts w:hint="eastAsia" w:ascii="仿宋" w:hAnsi="仿宋" w:eastAsia="仿宋"/>
          <w:sz w:val="32"/>
          <w:szCs w:val="32"/>
          <w:lang w:eastAsia="zh-CN"/>
        </w:rPr>
        <w:t>、</w:t>
      </w:r>
      <w:r>
        <w:rPr>
          <w:rFonts w:hint="eastAsia" w:ascii="仿宋" w:hAnsi="仿宋" w:eastAsia="仿宋"/>
          <w:sz w:val="32"/>
          <w:szCs w:val="32"/>
          <w:lang w:val="en-US" w:eastAsia="zh-CN"/>
        </w:rPr>
        <w:t>支</w:t>
      </w:r>
      <w:r>
        <w:rPr>
          <w:rFonts w:hint="eastAsia" w:ascii="仿宋" w:hAnsi="仿宋" w:eastAsia="仿宋"/>
          <w:sz w:val="32"/>
          <w:szCs w:val="32"/>
        </w:rPr>
        <w:t>总计</w:t>
      </w:r>
      <w:r>
        <w:rPr>
          <w:rFonts w:hint="eastAsia" w:ascii="仿宋" w:hAnsi="仿宋" w:eastAsia="仿宋"/>
          <w:sz w:val="32"/>
          <w:szCs w:val="32"/>
          <w:lang w:val="en-US" w:eastAsia="zh-CN"/>
        </w:rPr>
        <w:t>1900.71</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年相比，收</w:t>
      </w:r>
      <w:r>
        <w:rPr>
          <w:rFonts w:hint="eastAsia" w:ascii="仿宋" w:hAnsi="仿宋" w:eastAsia="仿宋"/>
          <w:sz w:val="32"/>
          <w:szCs w:val="32"/>
          <w:lang w:val="en-US" w:eastAsia="zh-CN"/>
        </w:rPr>
        <w:t>支</w:t>
      </w:r>
      <w:r>
        <w:rPr>
          <w:rFonts w:hint="eastAsia" w:ascii="仿宋" w:hAnsi="仿宋" w:eastAsia="仿宋"/>
          <w:sz w:val="32"/>
          <w:szCs w:val="32"/>
        </w:rPr>
        <w:t>总计</w:t>
      </w:r>
      <w:r>
        <w:rPr>
          <w:rFonts w:hint="eastAsia" w:ascii="仿宋" w:hAnsi="仿宋" w:eastAsia="仿宋"/>
          <w:sz w:val="32"/>
          <w:szCs w:val="32"/>
          <w:lang w:val="en-US" w:eastAsia="zh-CN"/>
        </w:rPr>
        <w:t>各</w:t>
      </w:r>
      <w:r>
        <w:rPr>
          <w:rFonts w:hint="eastAsia" w:ascii="仿宋" w:hAnsi="仿宋" w:eastAsia="仿宋"/>
          <w:sz w:val="32"/>
          <w:szCs w:val="32"/>
        </w:rPr>
        <w:t>增加</w:t>
      </w:r>
      <w:r>
        <w:rPr>
          <w:rFonts w:hint="eastAsia" w:ascii="仿宋" w:hAnsi="仿宋" w:eastAsia="仿宋"/>
          <w:sz w:val="32"/>
          <w:szCs w:val="32"/>
          <w:lang w:val="en-US" w:eastAsia="zh-CN"/>
        </w:rPr>
        <w:t>987.66</w:t>
      </w:r>
      <w:r>
        <w:rPr>
          <w:rFonts w:hint="eastAsia" w:ascii="仿宋" w:hAnsi="仿宋" w:eastAsia="仿宋"/>
          <w:sz w:val="32"/>
          <w:szCs w:val="32"/>
        </w:rPr>
        <w:t>万元，增长</w:t>
      </w:r>
      <w:r>
        <w:rPr>
          <w:rFonts w:hint="eastAsia" w:ascii="仿宋" w:hAnsi="仿宋" w:eastAsia="仿宋"/>
          <w:sz w:val="32"/>
          <w:szCs w:val="32"/>
          <w:lang w:val="en-US" w:eastAsia="zh-CN"/>
        </w:rPr>
        <w:t>108.17</w:t>
      </w:r>
      <w:r>
        <w:rPr>
          <w:rFonts w:ascii="仿宋" w:hAnsi="仿宋" w:eastAsia="仿宋"/>
          <w:sz w:val="32"/>
          <w:szCs w:val="32"/>
        </w:rPr>
        <w:t>%</w:t>
      </w:r>
      <w:r>
        <w:rPr>
          <w:rFonts w:hint="eastAsia" w:ascii="仿宋" w:hAnsi="仿宋" w:eastAsia="仿宋"/>
          <w:sz w:val="32"/>
          <w:szCs w:val="32"/>
        </w:rPr>
        <w:t>。主要变动原因是村社区</w:t>
      </w:r>
      <w:r>
        <w:rPr>
          <w:rFonts w:hint="eastAsia" w:ascii="仿宋" w:hAnsi="仿宋" w:eastAsia="仿宋"/>
          <w:sz w:val="32"/>
          <w:szCs w:val="32"/>
          <w:lang w:val="en-US" w:eastAsia="zh-CN"/>
        </w:rPr>
        <w:t>集体经济补助</w:t>
      </w:r>
      <w:r>
        <w:rPr>
          <w:rFonts w:hint="eastAsia" w:ascii="仿宋" w:hAnsi="仿宋" w:eastAsia="仿宋"/>
          <w:sz w:val="32"/>
          <w:szCs w:val="32"/>
        </w:rPr>
        <w:t>调整，农林水</w:t>
      </w:r>
      <w:r>
        <w:rPr>
          <w:rFonts w:hint="eastAsia" w:ascii="仿宋" w:hAnsi="仿宋" w:eastAsia="仿宋"/>
          <w:sz w:val="32"/>
          <w:szCs w:val="32"/>
          <w:lang w:val="en-US" w:eastAsia="zh-CN"/>
        </w:rPr>
        <w:t>收</w:t>
      </w:r>
      <w:r>
        <w:rPr>
          <w:rFonts w:hint="eastAsia" w:ascii="仿宋" w:hAnsi="仿宋" w:eastAsia="仿宋"/>
          <w:sz w:val="32"/>
          <w:szCs w:val="32"/>
        </w:rPr>
        <w:t>支</w:t>
      </w:r>
      <w:r>
        <w:rPr>
          <w:rFonts w:hint="eastAsia" w:ascii="仿宋" w:hAnsi="仿宋" w:eastAsia="仿宋"/>
          <w:sz w:val="32"/>
          <w:szCs w:val="32"/>
          <w:lang w:val="en-US" w:eastAsia="zh-CN"/>
        </w:rPr>
        <w:t>减少27.56</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职工工资基数调整，职工社会保障和就业收支增加3.92万元。职工医疗保险基数调整，卫生健康支出增加2.44万元，审计业务、组织事务经费调整、人员调出工资调整，</w:t>
      </w:r>
      <w:r>
        <w:rPr>
          <w:rFonts w:hint="eastAsia" w:ascii="仿宋" w:hAnsi="仿宋" w:eastAsia="仿宋"/>
          <w:sz w:val="32"/>
          <w:szCs w:val="32"/>
        </w:rPr>
        <w:t>一般公共服务收</w:t>
      </w:r>
      <w:r>
        <w:rPr>
          <w:rFonts w:hint="eastAsia" w:ascii="仿宋" w:hAnsi="仿宋" w:eastAsia="仿宋"/>
          <w:sz w:val="32"/>
          <w:szCs w:val="32"/>
          <w:lang w:val="en-US" w:eastAsia="zh-CN"/>
        </w:rPr>
        <w:t>支减少37.79</w:t>
      </w:r>
      <w:r>
        <w:rPr>
          <w:rFonts w:hint="eastAsia" w:ascii="仿宋" w:hAnsi="仿宋" w:eastAsia="仿宋"/>
          <w:sz w:val="32"/>
          <w:szCs w:val="32"/>
        </w:rPr>
        <w:t>万元。</w:t>
      </w:r>
      <w:r>
        <w:rPr>
          <w:rFonts w:hint="eastAsia" w:ascii="仿宋" w:hAnsi="仿宋" w:eastAsia="仿宋"/>
          <w:sz w:val="32"/>
          <w:szCs w:val="32"/>
          <w:lang w:val="en-US" w:eastAsia="zh-CN"/>
        </w:rPr>
        <w:t>维稳经费调整，公共安全支出减少5万元，由于社区建设增加，</w:t>
      </w:r>
      <w:r>
        <w:rPr>
          <w:rFonts w:hint="eastAsia" w:ascii="仿宋" w:hAnsi="仿宋" w:eastAsia="仿宋"/>
          <w:sz w:val="32"/>
          <w:szCs w:val="32"/>
        </w:rPr>
        <w:t>城乡社区事务收</w:t>
      </w:r>
      <w:r>
        <w:rPr>
          <w:rFonts w:hint="eastAsia" w:ascii="仿宋" w:hAnsi="仿宋" w:eastAsia="仿宋"/>
          <w:sz w:val="32"/>
          <w:szCs w:val="32"/>
          <w:lang w:val="en-US" w:eastAsia="zh-CN"/>
        </w:rPr>
        <w:t>支增加1052.66</w:t>
      </w:r>
      <w:r>
        <w:rPr>
          <w:rFonts w:hint="eastAsia" w:ascii="仿宋" w:hAnsi="仿宋" w:eastAsia="仿宋"/>
          <w:sz w:val="32"/>
          <w:szCs w:val="32"/>
        </w:rPr>
        <w:t>万元，灾害防治及应急管理</w:t>
      </w:r>
      <w:r>
        <w:rPr>
          <w:rFonts w:hint="eastAsia" w:ascii="仿宋" w:hAnsi="仿宋" w:eastAsia="仿宋"/>
          <w:sz w:val="32"/>
          <w:szCs w:val="32"/>
          <w:lang w:val="en-US" w:eastAsia="zh-CN"/>
        </w:rPr>
        <w:t>收</w:t>
      </w:r>
      <w:r>
        <w:rPr>
          <w:rFonts w:hint="eastAsia" w:ascii="仿宋" w:hAnsi="仿宋" w:eastAsia="仿宋"/>
          <w:sz w:val="32"/>
          <w:szCs w:val="32"/>
        </w:rPr>
        <w:t>支</w:t>
      </w:r>
      <w:r>
        <w:rPr>
          <w:rFonts w:hint="eastAsia" w:ascii="仿宋" w:hAnsi="仿宋" w:eastAsia="仿宋"/>
          <w:sz w:val="32"/>
          <w:szCs w:val="32"/>
          <w:lang w:val="en-US" w:eastAsia="zh-CN"/>
        </w:rPr>
        <w:t>增加1.13</w:t>
      </w:r>
      <w:r>
        <w:rPr>
          <w:rFonts w:hint="eastAsia" w:ascii="仿宋" w:hAnsi="仿宋" w:eastAsia="仿宋"/>
          <w:sz w:val="32"/>
          <w:szCs w:val="32"/>
        </w:rPr>
        <w:t>万元，</w:t>
      </w:r>
      <w:r>
        <w:rPr>
          <w:rFonts w:hint="eastAsia" w:ascii="仿宋" w:hAnsi="仿宋" w:eastAsia="仿宋"/>
          <w:sz w:val="32"/>
          <w:szCs w:val="32"/>
          <w:lang w:val="en-US" w:eastAsia="zh-CN"/>
        </w:rPr>
        <w:t>人员调出，住房保障支出减少2.16万元。</w:t>
      </w:r>
    </w:p>
    <w:p>
      <w:pPr>
        <w:pStyle w:val="2"/>
        <w:spacing w:before="93" w:line="576" w:lineRule="exact"/>
        <w:rPr>
          <w:rFonts w:hint="eastAsia"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rPr>
        <w:drawing>
          <wp:anchor distT="0" distB="0" distL="114300" distR="114300" simplePos="0" relativeHeight="251661312" behindDoc="0" locked="0" layoutInCell="1" allowOverlap="1">
            <wp:simplePos x="0" y="0"/>
            <wp:positionH relativeFrom="column">
              <wp:posOffset>610235</wp:posOffset>
            </wp:positionH>
            <wp:positionV relativeFrom="paragraph">
              <wp:posOffset>384175</wp:posOffset>
            </wp:positionV>
            <wp:extent cx="5001895" cy="3133725"/>
            <wp:effectExtent l="4445" t="4445" r="10160" b="1143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黑体" w:hAnsi="黑体" w:eastAsia="黑体" w:cs="黑体"/>
          <w:color w:val="000000" w:themeColor="text1"/>
          <w:sz w:val="32"/>
          <w:szCs w:val="32"/>
        </w:rPr>
        <w:t xml:space="preserve">        </w:t>
      </w:r>
      <w:r>
        <w:rPr>
          <w:rFonts w:hint="eastAsia" w:ascii="黑体" w:hAnsi="黑体" w:eastAsia="黑体" w:cs="黑体"/>
          <w:color w:val="000000" w:themeColor="text1"/>
          <w:sz w:val="32"/>
          <w:szCs w:val="32"/>
          <w:lang w:val="en-US" w:eastAsia="zh-CN"/>
        </w:rPr>
        <w:t xml:space="preserve">  </w:t>
      </w:r>
    </w:p>
    <w:p>
      <w:pPr>
        <w:pStyle w:val="3"/>
        <w:rPr>
          <w:rFonts w:hint="eastAsia"/>
        </w:rPr>
      </w:pPr>
    </w:p>
    <w:p>
      <w:pPr>
        <w:pStyle w:val="2"/>
        <w:spacing w:before="93" w:line="576" w:lineRule="exact"/>
        <w:ind w:firstLine="1600" w:firstLineChars="500"/>
        <w:jc w:val="both"/>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（图1：收、支决算总计变动情况图）</w:t>
      </w:r>
    </w:p>
    <w:p>
      <w:pPr>
        <w:pStyle w:val="3"/>
      </w:pPr>
    </w:p>
    <w:p>
      <w:pPr>
        <w:pStyle w:val="26"/>
        <w:numPr>
          <w:ilvl w:val="0"/>
          <w:numId w:val="2"/>
        </w:numPr>
        <w:spacing w:line="576" w:lineRule="exact"/>
        <w:ind w:firstLineChars="0"/>
        <w:outlineLvl w:val="1"/>
        <w:rPr>
          <w:rStyle w:val="28"/>
          <w:rFonts w:ascii="黑体" w:hAnsi="黑体" w:eastAsia="黑体"/>
          <w:b w:val="0"/>
        </w:rPr>
      </w:pPr>
      <w:bookmarkStart w:id="37" w:name="_Toc1889590073"/>
      <w:bookmarkStart w:id="38" w:name="_Toc223780681"/>
      <w:bookmarkStart w:id="39" w:name="_Toc1858172211"/>
      <w:bookmarkStart w:id="40" w:name="_Toc15396604"/>
      <w:bookmarkStart w:id="41" w:name="_Toc15377206"/>
      <w:r>
        <w:rPr>
          <w:rFonts w:hint="eastAsia" w:ascii="黑体" w:hAnsi="黑体" w:eastAsia="黑体"/>
          <w:sz w:val="32"/>
          <w:szCs w:val="32"/>
        </w:rPr>
        <w:t>收</w:t>
      </w:r>
      <w:r>
        <w:rPr>
          <w:rStyle w:val="28"/>
          <w:rFonts w:hint="eastAsia" w:ascii="黑体" w:hAnsi="黑体" w:eastAsia="黑体"/>
          <w:b w:val="0"/>
        </w:rPr>
        <w:t>入决算情况说明</w:t>
      </w:r>
      <w:bookmarkEnd w:id="37"/>
      <w:bookmarkEnd w:id="38"/>
      <w:bookmarkEnd w:id="39"/>
      <w:bookmarkEnd w:id="40"/>
      <w:bookmarkEnd w:id="41"/>
    </w:p>
    <w:p>
      <w:pPr>
        <w:pStyle w:val="3"/>
        <w:ind w:firstLine="640" w:firstLineChars="200"/>
        <w:rPr>
          <w:rFonts w:hint="eastAsia" w:eastAsia="仿宋"/>
          <w:lang w:eastAsia="zh-CN"/>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年本年收入合计</w:t>
      </w:r>
      <w:r>
        <w:rPr>
          <w:rFonts w:hint="eastAsia" w:ascii="仿宋" w:hAnsi="仿宋" w:eastAsia="仿宋"/>
          <w:sz w:val="32"/>
          <w:szCs w:val="32"/>
          <w:lang w:val="en-US" w:eastAsia="zh-CN"/>
        </w:rPr>
        <w:t>1900.71</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1043.04</w:t>
      </w:r>
      <w:r>
        <w:rPr>
          <w:rFonts w:hint="eastAsia" w:ascii="仿宋" w:hAnsi="仿宋" w:eastAsia="仿宋"/>
          <w:sz w:val="32"/>
          <w:szCs w:val="32"/>
        </w:rPr>
        <w:t>万元，占</w:t>
      </w:r>
      <w:r>
        <w:rPr>
          <w:rFonts w:hint="eastAsia" w:ascii="仿宋" w:hAnsi="仿宋" w:eastAsia="仿宋"/>
          <w:sz w:val="32"/>
          <w:szCs w:val="32"/>
          <w:lang w:val="en-US" w:eastAsia="zh-CN"/>
        </w:rPr>
        <w:t>54.88</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857.66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45.12</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pStyle w:val="3"/>
        <w:rPr>
          <w:rFonts w:hint="eastAsia"/>
          <w:lang w:val="en-US" w:eastAsia="zh-CN"/>
        </w:rPr>
      </w:pPr>
      <w:r>
        <w:rPr>
          <w:rFonts w:hint="eastAsia"/>
          <w:lang w:val="en-US" w:eastAsia="zh-CN"/>
        </w:rPr>
        <w:t xml:space="preserve">                 </w:t>
      </w: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r>
        <w:rPr>
          <w:rFonts w:hint="eastAsia" w:ascii="仿宋" w:hAnsi="仿宋" w:eastAsia="仿宋"/>
          <w:color w:val="000000" w:themeColor="text1"/>
          <w:sz w:val="32"/>
          <w:szCs w:val="32"/>
        </w:rPr>
        <w:drawing>
          <wp:anchor distT="0" distB="0" distL="114300" distR="114300" simplePos="0" relativeHeight="251660288" behindDoc="0" locked="0" layoutInCell="1" allowOverlap="1">
            <wp:simplePos x="0" y="0"/>
            <wp:positionH relativeFrom="column">
              <wp:posOffset>763905</wp:posOffset>
            </wp:positionH>
            <wp:positionV relativeFrom="page">
              <wp:posOffset>882650</wp:posOffset>
            </wp:positionV>
            <wp:extent cx="4430395" cy="2747645"/>
            <wp:effectExtent l="4445" t="4445" r="10160" b="1651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3"/>
        <w:ind w:firstLine="1920" w:firstLineChars="600"/>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（图2：收入决算结构图）</w:t>
      </w:r>
      <w:bookmarkStart w:id="42" w:name="_Toc15377207"/>
      <w:bookmarkStart w:id="43" w:name="_Toc15396605"/>
    </w:p>
    <w:p>
      <w:pPr>
        <w:pStyle w:val="3"/>
        <w:ind w:firstLine="2240" w:firstLineChars="700"/>
        <w:rPr>
          <w:rFonts w:hint="eastAsia" w:ascii="黑体" w:hAnsi="黑体" w:eastAsia="黑体" w:cs="黑体"/>
          <w:color w:val="000000" w:themeColor="text1"/>
          <w:sz w:val="32"/>
          <w:szCs w:val="32"/>
        </w:rPr>
      </w:pPr>
    </w:p>
    <w:p>
      <w:pPr>
        <w:pStyle w:val="26"/>
        <w:numPr>
          <w:ilvl w:val="0"/>
          <w:numId w:val="2"/>
        </w:numPr>
        <w:spacing w:line="576" w:lineRule="exact"/>
        <w:ind w:firstLineChars="0"/>
        <w:outlineLvl w:val="1"/>
        <w:rPr>
          <w:rStyle w:val="28"/>
          <w:rFonts w:ascii="黑体" w:hAnsi="黑体" w:eastAsia="黑体"/>
          <w:b w:val="0"/>
        </w:rPr>
      </w:pPr>
      <w:bookmarkStart w:id="44" w:name="_Toc1672508263"/>
      <w:bookmarkStart w:id="45" w:name="_Toc2030467290"/>
      <w:bookmarkStart w:id="46" w:name="_Toc1028418337"/>
      <w:r>
        <w:rPr>
          <w:rFonts w:hint="eastAsia" w:ascii="黑体" w:hAnsi="黑体" w:eastAsia="黑体"/>
          <w:sz w:val="32"/>
          <w:szCs w:val="32"/>
        </w:rPr>
        <w:t>支</w:t>
      </w:r>
      <w:r>
        <w:rPr>
          <w:rStyle w:val="28"/>
          <w:rFonts w:hint="eastAsia" w:ascii="黑体" w:hAnsi="黑体" w:eastAsia="黑体"/>
          <w:b w:val="0"/>
        </w:rPr>
        <w:t>出决算情况说明</w:t>
      </w:r>
      <w:bookmarkEnd w:id="42"/>
      <w:bookmarkEnd w:id="43"/>
      <w:bookmarkEnd w:id="44"/>
      <w:bookmarkEnd w:id="45"/>
      <w:bookmarkEnd w:id="46"/>
    </w:p>
    <w:p>
      <w:pPr>
        <w:spacing w:line="576" w:lineRule="exact"/>
        <w:ind w:firstLine="640" w:firstLineChars="200"/>
        <w:outlineLvl w:val="1"/>
        <w:rPr>
          <w:rFonts w:hint="eastAsia"/>
          <w:lang w:eastAsia="zh-CN"/>
        </w:rPr>
      </w:pPr>
      <w:bookmarkStart w:id="47" w:name="_Toc307485991"/>
      <w:bookmarkStart w:id="48" w:name="_Toc1083394322"/>
      <w:bookmarkStart w:id="49" w:name="_Toc1821264829"/>
      <w:bookmarkStart w:id="50" w:name="_Toc98733239"/>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年本年支出合计</w:t>
      </w:r>
      <w:r>
        <w:rPr>
          <w:rFonts w:hint="eastAsia" w:ascii="仿宋" w:hAnsi="仿宋" w:eastAsia="仿宋"/>
          <w:sz w:val="32"/>
          <w:szCs w:val="32"/>
          <w:lang w:val="en-US" w:eastAsia="zh-CN"/>
        </w:rPr>
        <w:t>1900.71</w:t>
      </w:r>
      <w:r>
        <w:rPr>
          <w:rFonts w:hint="eastAsia" w:ascii="仿宋" w:hAnsi="仿宋" w:eastAsia="仿宋"/>
          <w:sz w:val="32"/>
          <w:szCs w:val="32"/>
        </w:rPr>
        <w:t>万元，其中：基本支出</w:t>
      </w:r>
      <w:r>
        <w:rPr>
          <w:rFonts w:hint="eastAsia" w:ascii="仿宋" w:hAnsi="仿宋" w:eastAsia="仿宋"/>
          <w:sz w:val="32"/>
          <w:szCs w:val="32"/>
          <w:lang w:val="en-US" w:eastAsia="zh-CN"/>
        </w:rPr>
        <w:t>666.40</w:t>
      </w:r>
      <w:r>
        <w:rPr>
          <w:rFonts w:hint="eastAsia" w:ascii="仿宋" w:hAnsi="仿宋" w:eastAsia="仿宋"/>
          <w:sz w:val="32"/>
          <w:szCs w:val="32"/>
        </w:rPr>
        <w:t>万元，占</w:t>
      </w:r>
      <w:r>
        <w:rPr>
          <w:rFonts w:hint="eastAsia" w:ascii="仿宋" w:hAnsi="仿宋" w:eastAsia="仿宋"/>
          <w:sz w:val="32"/>
          <w:szCs w:val="32"/>
          <w:lang w:val="en-US" w:eastAsia="zh-CN"/>
        </w:rPr>
        <w:t>35.06</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1234.30</w:t>
      </w:r>
      <w:r>
        <w:rPr>
          <w:rFonts w:hint="eastAsia" w:ascii="仿宋" w:hAnsi="仿宋" w:eastAsia="仿宋"/>
          <w:sz w:val="32"/>
          <w:szCs w:val="32"/>
        </w:rPr>
        <w:t>万元，占</w:t>
      </w:r>
      <w:r>
        <w:rPr>
          <w:rFonts w:hint="eastAsia" w:ascii="仿宋" w:hAnsi="仿宋" w:eastAsia="仿宋"/>
          <w:sz w:val="32"/>
          <w:szCs w:val="32"/>
          <w:lang w:val="en-US" w:eastAsia="zh-CN"/>
        </w:rPr>
        <w:t>64.94</w:t>
      </w:r>
      <w:r>
        <w:rPr>
          <w:rFonts w:ascii="仿宋" w:hAnsi="仿宋" w:eastAsia="仿宋"/>
          <w:sz w:val="32"/>
          <w:szCs w:val="32"/>
        </w:rPr>
        <w:t>%</w:t>
      </w:r>
      <w:r>
        <w:rPr>
          <w:rFonts w:hint="eastAsia" w:ascii="仿宋" w:hAnsi="仿宋" w:eastAsia="仿宋"/>
          <w:sz w:val="32"/>
          <w:szCs w:val="32"/>
          <w:lang w:eastAsia="zh-CN"/>
        </w:rPr>
        <w:t>；</w:t>
      </w:r>
      <w:bookmarkEnd w:id="47"/>
      <w:bookmarkEnd w:id="48"/>
      <w:bookmarkEnd w:id="49"/>
      <w:bookmarkEnd w:id="50"/>
    </w:p>
    <w:p>
      <w:pPr>
        <w:spacing w:line="576" w:lineRule="exact"/>
        <w:outlineLvl w:val="1"/>
        <w:rPr>
          <w:rFonts w:hint="eastAsia"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rPr>
        <w:drawing>
          <wp:anchor distT="0" distB="0" distL="114300" distR="114300" simplePos="0" relativeHeight="251662336" behindDoc="0" locked="0" layoutInCell="1" allowOverlap="1">
            <wp:simplePos x="0" y="0"/>
            <wp:positionH relativeFrom="column">
              <wp:posOffset>525145</wp:posOffset>
            </wp:positionH>
            <wp:positionV relativeFrom="paragraph">
              <wp:posOffset>170180</wp:posOffset>
            </wp:positionV>
            <wp:extent cx="4504055" cy="2493645"/>
            <wp:effectExtent l="4445" t="4445" r="12700" b="1651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黑体" w:hAnsi="黑体" w:eastAsia="黑体" w:cs="黑体"/>
          <w:color w:val="000000" w:themeColor="text1"/>
          <w:sz w:val="32"/>
          <w:szCs w:val="32"/>
          <w:lang w:val="en-US" w:eastAsia="zh-CN"/>
        </w:rPr>
        <w:t xml:space="preserve">               </w:t>
      </w:r>
    </w:p>
    <w:p>
      <w:pPr>
        <w:spacing w:line="576" w:lineRule="exact"/>
        <w:ind w:firstLine="2240" w:firstLineChars="700"/>
        <w:outlineLvl w:val="1"/>
        <w:rPr>
          <w:rFonts w:hint="eastAsia" w:ascii="黑体" w:hAnsi="黑体" w:eastAsia="黑体" w:cs="黑体"/>
          <w:color w:val="000000" w:themeColor="text1"/>
          <w:sz w:val="32"/>
          <w:szCs w:val="32"/>
        </w:rPr>
      </w:pPr>
      <w:bookmarkStart w:id="51" w:name="_Toc812386616"/>
      <w:bookmarkStart w:id="52" w:name="_Toc735051233"/>
      <w:bookmarkStart w:id="53" w:name="_Toc1079737519"/>
      <w:bookmarkStart w:id="54" w:name="_Toc1706179541"/>
      <w:r>
        <w:rPr>
          <w:rFonts w:hint="eastAsia" w:ascii="黑体" w:hAnsi="黑体" w:eastAsia="黑体" w:cs="黑体"/>
          <w:color w:val="000000" w:themeColor="text1"/>
          <w:sz w:val="32"/>
          <w:szCs w:val="32"/>
        </w:rPr>
        <w:t>（图3：支出决算结构图）</w:t>
      </w:r>
      <w:bookmarkEnd w:id="51"/>
      <w:bookmarkEnd w:id="52"/>
      <w:bookmarkEnd w:id="53"/>
      <w:bookmarkEnd w:id="54"/>
    </w:p>
    <w:p>
      <w:pPr>
        <w:numPr>
          <w:ilvl w:val="0"/>
          <w:numId w:val="0"/>
        </w:numPr>
        <w:spacing w:line="576" w:lineRule="exact"/>
        <w:ind w:left="640" w:leftChars="0"/>
        <w:outlineLvl w:val="1"/>
      </w:pPr>
      <w:bookmarkStart w:id="55" w:name="_Toc960263877"/>
      <w:bookmarkStart w:id="56" w:name="_Toc394247123"/>
      <w:bookmarkStart w:id="57" w:name="_Toc731533553"/>
      <w:bookmarkStart w:id="58" w:name="_Toc15396606"/>
      <w:bookmarkStart w:id="59" w:name="_Toc15377208"/>
      <w:r>
        <w:rPr>
          <w:rFonts w:hint="eastAsia" w:ascii="黑体" w:hAnsi="黑体" w:eastAsia="黑体"/>
          <w:sz w:val="32"/>
          <w:szCs w:val="32"/>
          <w:lang w:val="en-US" w:eastAsia="zh-CN"/>
        </w:rPr>
        <w:t>四、</w:t>
      </w:r>
      <w:r>
        <w:rPr>
          <w:rFonts w:hint="eastAsia" w:ascii="黑体" w:hAnsi="黑体" w:eastAsia="黑体"/>
          <w:sz w:val="32"/>
          <w:szCs w:val="32"/>
        </w:rPr>
        <w:t>财</w:t>
      </w:r>
      <w:r>
        <w:rPr>
          <w:rStyle w:val="28"/>
          <w:rFonts w:hint="eastAsia" w:ascii="黑体" w:hAnsi="黑体" w:eastAsia="黑体"/>
          <w:b w:val="0"/>
        </w:rPr>
        <w:t>政拨款收入支出决算总体情况说明</w:t>
      </w:r>
      <w:bookmarkEnd w:id="55"/>
      <w:bookmarkEnd w:id="56"/>
      <w:bookmarkEnd w:id="57"/>
      <w:bookmarkEnd w:id="58"/>
      <w:bookmarkEnd w:id="59"/>
    </w:p>
    <w:p>
      <w:pPr>
        <w:spacing w:line="576" w:lineRule="exact"/>
        <w:ind w:firstLine="640" w:firstLineChars="200"/>
        <w:rPr>
          <w:rFonts w:hint="eastAsia" w:ascii="仿宋" w:hAnsi="仿宋" w:eastAsia="仿宋"/>
          <w:b/>
          <w:bCs/>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年度收、支总计</w:t>
      </w:r>
      <w:r>
        <w:rPr>
          <w:rFonts w:hint="eastAsia" w:ascii="仿宋" w:hAnsi="仿宋" w:eastAsia="仿宋"/>
          <w:sz w:val="32"/>
          <w:szCs w:val="32"/>
          <w:lang w:val="en-US" w:eastAsia="zh-CN"/>
        </w:rPr>
        <w:t>1900.71</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年相比，收、支总计各增加</w:t>
      </w:r>
      <w:r>
        <w:rPr>
          <w:rFonts w:hint="eastAsia" w:ascii="仿宋" w:hAnsi="仿宋" w:eastAsia="仿宋"/>
          <w:sz w:val="32"/>
          <w:szCs w:val="32"/>
          <w:lang w:val="en-US" w:eastAsia="zh-CN"/>
        </w:rPr>
        <w:t>987.66</w:t>
      </w:r>
      <w:r>
        <w:rPr>
          <w:rFonts w:hint="eastAsia" w:ascii="仿宋" w:hAnsi="仿宋" w:eastAsia="仿宋"/>
          <w:sz w:val="32"/>
          <w:szCs w:val="32"/>
        </w:rPr>
        <w:t>万元，增长</w:t>
      </w:r>
      <w:r>
        <w:rPr>
          <w:rFonts w:hint="eastAsia" w:ascii="仿宋" w:hAnsi="仿宋" w:eastAsia="仿宋"/>
          <w:sz w:val="32"/>
          <w:szCs w:val="32"/>
          <w:lang w:val="en-US" w:eastAsia="zh-CN"/>
        </w:rPr>
        <w:t>108.17</w:t>
      </w:r>
      <w:r>
        <w:rPr>
          <w:rFonts w:ascii="仿宋" w:hAnsi="仿宋" w:eastAsia="仿宋"/>
          <w:sz w:val="32"/>
          <w:szCs w:val="32"/>
        </w:rPr>
        <w:t>%</w:t>
      </w:r>
      <w:r>
        <w:rPr>
          <w:rFonts w:hint="eastAsia" w:ascii="仿宋" w:hAnsi="仿宋" w:eastAsia="仿宋"/>
          <w:sz w:val="32"/>
          <w:szCs w:val="32"/>
          <w:lang w:eastAsia="zh-CN"/>
        </w:rPr>
        <w:t>。</w:t>
      </w:r>
    </w:p>
    <w:p>
      <w:pPr>
        <w:pStyle w:val="3"/>
        <w:spacing w:line="576" w:lineRule="exact"/>
        <w:jc w:val="center"/>
        <w:rPr>
          <w:rFonts w:hint="eastAsia" w:ascii="仿宋" w:hAnsi="仿宋" w:eastAsia="仿宋"/>
          <w:b/>
          <w:bCs/>
          <w:sz w:val="32"/>
          <w:szCs w:val="32"/>
        </w:rPr>
      </w:pPr>
      <w:bookmarkStart w:id="60" w:name="_Toc15377211"/>
    </w:p>
    <w:p>
      <w:pPr>
        <w:pStyle w:val="3"/>
        <w:spacing w:line="576" w:lineRule="exact"/>
        <w:jc w:val="center"/>
        <w:rPr>
          <w:rFonts w:hint="eastAsia" w:ascii="仿宋" w:hAnsi="仿宋" w:eastAsia="仿宋"/>
          <w:b/>
          <w:bCs/>
          <w:sz w:val="32"/>
          <w:szCs w:val="32"/>
        </w:rPr>
      </w:pPr>
      <w:r>
        <w:rPr>
          <w:rFonts w:hint="eastAsia" w:ascii="黑体" w:hAnsi="黑体" w:eastAsia="黑体" w:cs="黑体"/>
          <w:b/>
          <w:bCs/>
          <w:color w:val="000000" w:themeColor="text1"/>
          <w:sz w:val="32"/>
          <w:szCs w:val="32"/>
        </w:rPr>
        <w:drawing>
          <wp:anchor distT="0" distB="0" distL="114300" distR="114300" simplePos="0" relativeHeight="251663360" behindDoc="0" locked="0" layoutInCell="1" allowOverlap="1">
            <wp:simplePos x="0" y="0"/>
            <wp:positionH relativeFrom="column">
              <wp:posOffset>304800</wp:posOffset>
            </wp:positionH>
            <wp:positionV relativeFrom="paragraph">
              <wp:posOffset>39370</wp:posOffset>
            </wp:positionV>
            <wp:extent cx="5199380" cy="2459355"/>
            <wp:effectExtent l="4445" t="4445" r="15875" b="1270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3"/>
        <w:spacing w:line="576" w:lineRule="exact"/>
        <w:jc w:val="center"/>
        <w:rPr>
          <w:rFonts w:ascii="仿宋" w:hAnsi="仿宋" w:eastAsia="仿宋"/>
          <w:b/>
          <w:bCs/>
          <w:sz w:val="32"/>
          <w:szCs w:val="32"/>
        </w:rPr>
      </w:pPr>
      <w:r>
        <w:rPr>
          <w:rFonts w:hint="eastAsia" w:ascii="仿宋" w:hAnsi="仿宋" w:eastAsia="仿宋"/>
          <w:b/>
          <w:bCs/>
          <w:sz w:val="32"/>
          <w:szCs w:val="32"/>
        </w:rPr>
        <w:t>（图4：财政拨款收、支决算总计变动情况）</w:t>
      </w:r>
    </w:p>
    <w:p>
      <w:pPr>
        <w:spacing w:line="576" w:lineRule="exact"/>
        <w:ind w:firstLine="640" w:firstLineChars="200"/>
        <w:outlineLvl w:val="1"/>
        <w:rPr>
          <w:rFonts w:hint="eastAsia" w:ascii="黑体" w:hAnsi="黑体" w:eastAsia="黑体"/>
          <w:sz w:val="32"/>
          <w:szCs w:val="32"/>
        </w:rPr>
      </w:pPr>
      <w:bookmarkStart w:id="61" w:name="_Toc15377209"/>
      <w:bookmarkStart w:id="62" w:name="_Toc15396607"/>
    </w:p>
    <w:p>
      <w:pPr>
        <w:spacing w:line="576" w:lineRule="exact"/>
        <w:ind w:firstLine="640" w:firstLineChars="200"/>
        <w:outlineLvl w:val="1"/>
        <w:rPr>
          <w:rStyle w:val="28"/>
          <w:rFonts w:ascii="黑体" w:hAnsi="黑体" w:eastAsia="黑体"/>
          <w:b w:val="0"/>
        </w:rPr>
      </w:pPr>
      <w:bookmarkStart w:id="63" w:name="_Toc1474244770"/>
      <w:bookmarkStart w:id="64" w:name="_Toc187841964"/>
      <w:bookmarkStart w:id="65" w:name="_Toc1245758140"/>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61"/>
      <w:bookmarkEnd w:id="62"/>
      <w:bookmarkEnd w:id="63"/>
      <w:bookmarkEnd w:id="64"/>
      <w:bookmarkEnd w:id="65"/>
    </w:p>
    <w:p>
      <w:pPr>
        <w:spacing w:line="576" w:lineRule="exact"/>
        <w:ind w:firstLine="321" w:firstLineChars="100"/>
        <w:outlineLvl w:val="2"/>
        <w:rPr>
          <w:rFonts w:ascii="仿宋" w:hAnsi="仿宋" w:eastAsia="仿宋"/>
          <w:b/>
          <w:sz w:val="32"/>
          <w:szCs w:val="32"/>
        </w:rPr>
      </w:pPr>
      <w:bookmarkStart w:id="66" w:name="_Toc15377210"/>
      <w:bookmarkStart w:id="67" w:name="_Toc731573128"/>
      <w:r>
        <w:rPr>
          <w:rFonts w:hint="eastAsia" w:ascii="仿宋" w:hAnsi="仿宋" w:eastAsia="仿宋"/>
          <w:b/>
          <w:sz w:val="32"/>
          <w:szCs w:val="32"/>
        </w:rPr>
        <w:t>（一）一般公共预算财政拨款支出决算总体情况</w:t>
      </w:r>
      <w:bookmarkEnd w:id="66"/>
      <w:bookmarkEnd w:id="67"/>
    </w:p>
    <w:p>
      <w:pPr>
        <w:pStyle w:val="3"/>
        <w:spacing w:line="576" w:lineRule="exact"/>
        <w:jc w:val="left"/>
        <w:rPr>
          <w:rFonts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年一般公共预算财政拨款支出总计</w:t>
      </w:r>
      <w:r>
        <w:rPr>
          <w:rFonts w:hint="eastAsia" w:ascii="仿宋" w:hAnsi="仿宋" w:eastAsia="仿宋"/>
          <w:sz w:val="32"/>
          <w:szCs w:val="32"/>
          <w:lang w:val="en-US" w:eastAsia="zh-CN"/>
        </w:rPr>
        <w:t>1043.04</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年相比，支总计增加</w:t>
      </w:r>
      <w:r>
        <w:rPr>
          <w:rFonts w:hint="eastAsia" w:ascii="仿宋" w:hAnsi="仿宋" w:eastAsia="仿宋"/>
          <w:sz w:val="32"/>
          <w:szCs w:val="32"/>
          <w:lang w:val="en-US" w:eastAsia="zh-CN"/>
        </w:rPr>
        <w:t>129.99</w:t>
      </w:r>
      <w:r>
        <w:rPr>
          <w:rFonts w:hint="eastAsia" w:ascii="仿宋" w:hAnsi="仿宋" w:eastAsia="仿宋"/>
          <w:sz w:val="32"/>
          <w:szCs w:val="32"/>
        </w:rPr>
        <w:t>万元，增长</w:t>
      </w:r>
      <w:r>
        <w:rPr>
          <w:rFonts w:hint="eastAsia" w:ascii="仿宋" w:hAnsi="仿宋" w:eastAsia="仿宋"/>
          <w:sz w:val="32"/>
          <w:szCs w:val="32"/>
          <w:lang w:val="en-US" w:eastAsia="zh-CN"/>
        </w:rPr>
        <w:t>14.24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w:t>
      </w:r>
      <w:r>
        <w:rPr>
          <w:rFonts w:hint="eastAsia" w:ascii="仿宋" w:hAnsi="仿宋" w:eastAsia="仿宋"/>
          <w:sz w:val="32"/>
          <w:szCs w:val="32"/>
        </w:rPr>
        <w:t>农林水</w:t>
      </w:r>
      <w:r>
        <w:rPr>
          <w:rFonts w:hint="eastAsia" w:ascii="仿宋" w:hAnsi="仿宋" w:eastAsia="仿宋"/>
          <w:sz w:val="32"/>
          <w:szCs w:val="32"/>
          <w:lang w:val="en-US" w:eastAsia="zh-CN"/>
        </w:rPr>
        <w:t>收</w:t>
      </w:r>
      <w:r>
        <w:rPr>
          <w:rFonts w:hint="eastAsia" w:ascii="仿宋" w:hAnsi="仿宋" w:eastAsia="仿宋"/>
          <w:sz w:val="32"/>
          <w:szCs w:val="32"/>
        </w:rPr>
        <w:t>支</w:t>
      </w:r>
      <w:r>
        <w:rPr>
          <w:rFonts w:hint="eastAsia" w:ascii="仿宋" w:hAnsi="仿宋" w:eastAsia="仿宋"/>
          <w:sz w:val="32"/>
          <w:szCs w:val="32"/>
          <w:lang w:val="en-US" w:eastAsia="zh-CN"/>
        </w:rPr>
        <w:t>减少27.56</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职工工资基数调整，职工社会保障和就业收支增加3.92万元。职工医疗保险基数调整，卫生健康支出增加2.44万元，审计业务、组织事务经费调整、人员调出工资调整，</w:t>
      </w:r>
      <w:r>
        <w:rPr>
          <w:rFonts w:hint="eastAsia" w:ascii="仿宋" w:hAnsi="仿宋" w:eastAsia="仿宋"/>
          <w:sz w:val="32"/>
          <w:szCs w:val="32"/>
        </w:rPr>
        <w:t>一般公共服务收</w:t>
      </w:r>
      <w:r>
        <w:rPr>
          <w:rFonts w:hint="eastAsia" w:ascii="仿宋" w:hAnsi="仿宋" w:eastAsia="仿宋"/>
          <w:sz w:val="32"/>
          <w:szCs w:val="32"/>
          <w:lang w:val="en-US" w:eastAsia="zh-CN"/>
        </w:rPr>
        <w:t>支减少37.79</w:t>
      </w:r>
      <w:r>
        <w:rPr>
          <w:rFonts w:hint="eastAsia" w:ascii="仿宋" w:hAnsi="仿宋" w:eastAsia="仿宋"/>
          <w:sz w:val="32"/>
          <w:szCs w:val="32"/>
        </w:rPr>
        <w:t>万元。</w:t>
      </w:r>
      <w:r>
        <w:rPr>
          <w:rFonts w:hint="eastAsia" w:ascii="仿宋" w:hAnsi="仿宋" w:eastAsia="仿宋"/>
          <w:sz w:val="32"/>
          <w:szCs w:val="32"/>
          <w:lang w:val="en-US" w:eastAsia="zh-CN"/>
        </w:rPr>
        <w:t>维稳经费调整，公共安全支出减少5万元</w:t>
      </w:r>
      <w:r>
        <w:rPr>
          <w:rFonts w:hint="eastAsia" w:ascii="仿宋" w:hAnsi="仿宋" w:eastAsia="仿宋"/>
          <w:sz w:val="32"/>
          <w:szCs w:val="32"/>
        </w:rPr>
        <w:t>灾害防治及应急管理</w:t>
      </w:r>
      <w:r>
        <w:rPr>
          <w:rFonts w:hint="eastAsia" w:ascii="仿宋" w:hAnsi="仿宋" w:eastAsia="仿宋"/>
          <w:sz w:val="32"/>
          <w:szCs w:val="32"/>
          <w:lang w:val="en-US" w:eastAsia="zh-CN"/>
        </w:rPr>
        <w:t>收</w:t>
      </w:r>
      <w:r>
        <w:rPr>
          <w:rFonts w:hint="eastAsia" w:ascii="仿宋" w:hAnsi="仿宋" w:eastAsia="仿宋"/>
          <w:sz w:val="32"/>
          <w:szCs w:val="32"/>
        </w:rPr>
        <w:t>支</w:t>
      </w:r>
      <w:r>
        <w:rPr>
          <w:rFonts w:hint="eastAsia" w:ascii="仿宋" w:hAnsi="仿宋" w:eastAsia="仿宋"/>
          <w:sz w:val="32"/>
          <w:szCs w:val="32"/>
          <w:lang w:val="en-US" w:eastAsia="zh-CN"/>
        </w:rPr>
        <w:t>增加1.13</w:t>
      </w:r>
      <w:r>
        <w:rPr>
          <w:rFonts w:hint="eastAsia" w:ascii="仿宋" w:hAnsi="仿宋" w:eastAsia="仿宋"/>
          <w:sz w:val="32"/>
          <w:szCs w:val="32"/>
        </w:rPr>
        <w:t>万元，</w:t>
      </w:r>
      <w:r>
        <w:rPr>
          <w:rFonts w:hint="eastAsia" w:ascii="仿宋" w:hAnsi="仿宋" w:eastAsia="仿宋"/>
          <w:sz w:val="32"/>
          <w:szCs w:val="32"/>
          <w:lang w:val="en-US" w:eastAsia="zh-CN"/>
        </w:rPr>
        <w:t>人员调出，住房保障支出减少2.16万元，社区基础建设增加，</w:t>
      </w:r>
      <w:r>
        <w:rPr>
          <w:rFonts w:hint="eastAsia" w:ascii="仿宋" w:hAnsi="仿宋" w:eastAsia="仿宋"/>
          <w:sz w:val="32"/>
          <w:szCs w:val="32"/>
        </w:rPr>
        <w:t>城乡社区事务收</w:t>
      </w:r>
      <w:r>
        <w:rPr>
          <w:rFonts w:hint="eastAsia" w:ascii="仿宋" w:hAnsi="仿宋" w:eastAsia="仿宋"/>
          <w:sz w:val="32"/>
          <w:szCs w:val="32"/>
          <w:lang w:val="en-US" w:eastAsia="zh-CN"/>
        </w:rPr>
        <w:t>支增加195万元。</w:t>
      </w:r>
      <w:r>
        <w:rPr>
          <w:rFonts w:hint="eastAsia" w:ascii="仿宋" w:hAnsi="仿宋" w:eastAsia="仿宋"/>
          <w:sz w:val="32"/>
          <w:szCs w:val="32"/>
        </w:rPr>
        <w:t>）</w:t>
      </w:r>
    </w:p>
    <w:p>
      <w:pPr>
        <w:pStyle w:val="3"/>
        <w:spacing w:line="576" w:lineRule="exact"/>
        <w:jc w:val="center"/>
        <w:rPr>
          <w:rFonts w:hint="eastAsia" w:ascii="仿宋" w:hAnsi="仿宋" w:eastAsia="仿宋"/>
          <w:b/>
          <w:bCs/>
          <w:sz w:val="32"/>
          <w:szCs w:val="32"/>
        </w:rPr>
      </w:pPr>
    </w:p>
    <w:p>
      <w:pPr>
        <w:pStyle w:val="3"/>
        <w:spacing w:line="576" w:lineRule="exact"/>
        <w:jc w:val="center"/>
        <w:rPr>
          <w:rFonts w:hint="eastAsia" w:ascii="仿宋" w:hAnsi="仿宋" w:eastAsia="仿宋"/>
          <w:b/>
          <w:bCs/>
          <w:sz w:val="32"/>
          <w:szCs w:val="32"/>
        </w:rPr>
      </w:pPr>
    </w:p>
    <w:p>
      <w:pPr>
        <w:pStyle w:val="3"/>
        <w:spacing w:line="576" w:lineRule="exact"/>
        <w:jc w:val="both"/>
        <w:rPr>
          <w:rFonts w:hint="eastAsia" w:ascii="仿宋" w:hAnsi="仿宋" w:eastAsia="仿宋"/>
          <w:b/>
          <w:bCs/>
          <w:sz w:val="32"/>
          <w:szCs w:val="32"/>
        </w:rPr>
      </w:pPr>
      <w:r>
        <w:rPr>
          <w:rFonts w:hint="eastAsia" w:ascii="仿宋" w:hAnsi="仿宋" w:eastAsia="仿宋"/>
          <w:color w:val="000000" w:themeColor="text1"/>
          <w:sz w:val="32"/>
          <w:szCs w:val="32"/>
        </w:rPr>
        <w:drawing>
          <wp:anchor distT="0" distB="0" distL="114300" distR="114300" simplePos="0" relativeHeight="251665408" behindDoc="1" locked="0" layoutInCell="1" allowOverlap="1">
            <wp:simplePos x="0" y="0"/>
            <wp:positionH relativeFrom="column">
              <wp:posOffset>309880</wp:posOffset>
            </wp:positionH>
            <wp:positionV relativeFrom="page">
              <wp:posOffset>930910</wp:posOffset>
            </wp:positionV>
            <wp:extent cx="4953635" cy="2809240"/>
            <wp:effectExtent l="4445" t="4445" r="7620" b="5715"/>
            <wp:wrapTight wrapText="bothSides">
              <wp:wrapPolygon>
                <wp:start x="-19" y="-34"/>
                <wp:lineTo x="-19" y="21546"/>
                <wp:lineTo x="21578" y="21546"/>
                <wp:lineTo x="21578" y="-34"/>
                <wp:lineTo x="-19" y="-34"/>
              </wp:wrapPolygon>
            </wp:wrapTight>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3"/>
        <w:spacing w:line="576" w:lineRule="exact"/>
        <w:jc w:val="center"/>
        <w:rPr>
          <w:rFonts w:hint="eastAsia" w:ascii="仿宋" w:hAnsi="仿宋" w:eastAsia="仿宋"/>
          <w:b/>
          <w:bCs/>
          <w:sz w:val="32"/>
          <w:szCs w:val="32"/>
        </w:rPr>
      </w:pPr>
    </w:p>
    <w:p>
      <w:pPr>
        <w:pStyle w:val="3"/>
        <w:spacing w:line="576" w:lineRule="exact"/>
        <w:jc w:val="center"/>
        <w:rPr>
          <w:rFonts w:hint="eastAsia" w:ascii="仿宋" w:hAnsi="仿宋" w:eastAsia="仿宋"/>
          <w:b/>
          <w:bCs/>
          <w:sz w:val="32"/>
          <w:szCs w:val="32"/>
        </w:rPr>
      </w:pPr>
    </w:p>
    <w:p>
      <w:pPr>
        <w:pStyle w:val="3"/>
        <w:spacing w:line="576" w:lineRule="exact"/>
        <w:jc w:val="center"/>
        <w:rPr>
          <w:rFonts w:hint="eastAsia" w:ascii="仿宋" w:hAnsi="仿宋" w:eastAsia="仿宋"/>
          <w:b/>
          <w:bCs/>
          <w:sz w:val="32"/>
          <w:szCs w:val="32"/>
        </w:rPr>
      </w:pPr>
    </w:p>
    <w:p>
      <w:pPr>
        <w:pStyle w:val="3"/>
        <w:spacing w:line="576" w:lineRule="exact"/>
        <w:jc w:val="center"/>
        <w:rPr>
          <w:rFonts w:hint="eastAsia" w:ascii="仿宋" w:hAnsi="仿宋" w:eastAsia="仿宋"/>
          <w:b/>
          <w:bCs/>
          <w:sz w:val="32"/>
          <w:szCs w:val="32"/>
        </w:rPr>
      </w:pPr>
    </w:p>
    <w:p>
      <w:pPr>
        <w:pStyle w:val="3"/>
        <w:spacing w:line="576" w:lineRule="exact"/>
        <w:jc w:val="center"/>
        <w:rPr>
          <w:rFonts w:hint="eastAsia" w:ascii="仿宋" w:hAnsi="仿宋" w:eastAsia="仿宋"/>
          <w:b/>
          <w:bCs/>
          <w:sz w:val="32"/>
          <w:szCs w:val="32"/>
        </w:rPr>
      </w:pPr>
    </w:p>
    <w:p>
      <w:pPr>
        <w:pStyle w:val="3"/>
        <w:spacing w:line="576" w:lineRule="exact"/>
        <w:jc w:val="center"/>
        <w:rPr>
          <w:rFonts w:hint="eastAsia" w:ascii="仿宋" w:hAnsi="仿宋" w:eastAsia="仿宋"/>
          <w:b/>
          <w:bCs/>
          <w:sz w:val="32"/>
          <w:szCs w:val="32"/>
        </w:rPr>
      </w:pPr>
    </w:p>
    <w:p>
      <w:pPr>
        <w:pStyle w:val="3"/>
        <w:spacing w:line="576" w:lineRule="exact"/>
        <w:jc w:val="center"/>
        <w:rPr>
          <w:rFonts w:hint="eastAsia" w:ascii="仿宋" w:hAnsi="仿宋" w:eastAsia="仿宋"/>
          <w:b/>
          <w:bCs/>
          <w:sz w:val="32"/>
          <w:szCs w:val="32"/>
        </w:rPr>
      </w:pPr>
    </w:p>
    <w:p>
      <w:pPr>
        <w:pStyle w:val="3"/>
        <w:spacing w:line="576" w:lineRule="exact"/>
        <w:jc w:val="center"/>
        <w:rPr>
          <w:rFonts w:hint="eastAsia" w:ascii="仿宋" w:hAnsi="仿宋" w:eastAsia="仿宋"/>
          <w:b/>
          <w:bCs/>
          <w:sz w:val="32"/>
          <w:szCs w:val="32"/>
        </w:rPr>
      </w:pPr>
    </w:p>
    <w:p>
      <w:pPr>
        <w:pStyle w:val="3"/>
        <w:spacing w:line="576" w:lineRule="exact"/>
        <w:jc w:val="center"/>
        <w:rPr>
          <w:rFonts w:ascii="仿宋" w:hAnsi="仿宋" w:eastAsia="仿宋"/>
          <w:b/>
          <w:bCs/>
          <w:sz w:val="32"/>
          <w:szCs w:val="32"/>
        </w:rPr>
      </w:pPr>
      <w:r>
        <w:rPr>
          <w:rFonts w:hint="eastAsia" w:ascii="仿宋" w:hAnsi="仿宋" w:eastAsia="仿宋"/>
          <w:b/>
          <w:bCs/>
          <w:sz w:val="32"/>
          <w:szCs w:val="32"/>
        </w:rPr>
        <w:t>（图5：一般公共预算财政拨款支出决算变动情况）</w:t>
      </w:r>
    </w:p>
    <w:p>
      <w:pPr>
        <w:spacing w:line="576" w:lineRule="exact"/>
        <w:ind w:firstLine="642" w:firstLineChars="200"/>
        <w:outlineLvl w:val="2"/>
        <w:rPr>
          <w:rFonts w:ascii="仿宋" w:hAnsi="仿宋" w:eastAsia="仿宋"/>
          <w:b/>
          <w:sz w:val="32"/>
          <w:szCs w:val="32"/>
        </w:rPr>
      </w:pPr>
      <w:bookmarkStart w:id="68" w:name="_Toc289298802"/>
      <w:r>
        <w:rPr>
          <w:rFonts w:hint="eastAsia" w:ascii="仿宋" w:hAnsi="仿宋" w:eastAsia="仿宋"/>
          <w:b/>
          <w:sz w:val="32"/>
          <w:szCs w:val="32"/>
        </w:rPr>
        <w:t>（二）一般公共预算财政拨款支出决算结构情况</w:t>
      </w:r>
      <w:bookmarkEnd w:id="60"/>
      <w:bookmarkEnd w:id="68"/>
    </w:p>
    <w:p>
      <w:pPr>
        <w:spacing w:line="576" w:lineRule="exact"/>
        <w:ind w:firstLine="640"/>
        <w:rPr>
          <w:rFonts w:ascii="黑体" w:hAnsi="黑体" w:eastAsia="黑体" w:cs="黑体"/>
          <w:color w:val="000000" w:themeColor="text1"/>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1043.04</w:t>
      </w:r>
      <w:r>
        <w:rPr>
          <w:rFonts w:hint="eastAsia" w:ascii="仿宋" w:hAnsi="仿宋" w:eastAsia="仿宋"/>
          <w:sz w:val="32"/>
          <w:szCs w:val="32"/>
        </w:rPr>
        <w:t>万元，主要用于以下方面</w:t>
      </w:r>
      <w:r>
        <w:rPr>
          <w:rFonts w:hint="eastAsia" w:ascii="仿宋_GB2312" w:hAnsi="仿宋_GB2312" w:eastAsia="仿宋_GB2312" w:cs="仿宋_GB2312"/>
          <w:color w:val="000000"/>
          <w:sz w:val="32"/>
          <w:szCs w:val="32"/>
        </w:rPr>
        <w:t>:一般公共服务支</w:t>
      </w:r>
      <w:r>
        <w:rPr>
          <w:rFonts w:hint="eastAsia" w:ascii="仿宋" w:hAnsi="仿宋" w:eastAsia="仿宋"/>
          <w:sz w:val="32"/>
          <w:szCs w:val="32"/>
        </w:rPr>
        <w:t>出</w:t>
      </w:r>
      <w:r>
        <w:rPr>
          <w:rFonts w:hint="eastAsia" w:ascii="仿宋" w:hAnsi="仿宋" w:eastAsia="仿宋"/>
          <w:sz w:val="32"/>
          <w:szCs w:val="32"/>
          <w:lang w:val="en-US" w:eastAsia="zh-CN"/>
        </w:rPr>
        <w:t>415.79</w:t>
      </w:r>
      <w:r>
        <w:rPr>
          <w:rFonts w:hint="eastAsia" w:ascii="仿宋" w:hAnsi="仿宋" w:eastAsia="仿宋"/>
          <w:sz w:val="32"/>
          <w:szCs w:val="32"/>
        </w:rPr>
        <w:t>万元，占</w:t>
      </w:r>
      <w:r>
        <w:rPr>
          <w:rFonts w:hint="eastAsia" w:ascii="仿宋" w:hAnsi="仿宋" w:eastAsia="仿宋"/>
          <w:sz w:val="32"/>
          <w:szCs w:val="32"/>
          <w:lang w:val="en-US" w:eastAsia="zh-CN"/>
        </w:rPr>
        <w:t>39.85</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s="仿宋_GB2312"/>
          <w:color w:val="000000"/>
          <w:sz w:val="32"/>
          <w:szCs w:val="32"/>
        </w:rPr>
        <w:t>公共安全支出</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0.19</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val="en-US" w:eastAsia="zh-CN"/>
        </w:rPr>
        <w:t>31.80</w:t>
      </w:r>
      <w:r>
        <w:rPr>
          <w:rFonts w:hint="eastAsia" w:ascii="仿宋_GB2312" w:hAnsi="仿宋_GB2312" w:eastAsia="仿宋_GB2312" w:cs="仿宋_GB2312"/>
          <w:color w:val="000000"/>
          <w:sz w:val="32"/>
          <w:szCs w:val="32"/>
        </w:rPr>
        <w:t>万元，占3.05%；卫生健康支出1</w:t>
      </w:r>
      <w:r>
        <w:rPr>
          <w:rFonts w:hint="eastAsia" w:ascii="仿宋_GB2312" w:hAnsi="仿宋_GB2312" w:eastAsia="仿宋_GB2312" w:cs="仿宋_GB2312"/>
          <w:color w:val="000000"/>
          <w:sz w:val="32"/>
          <w:szCs w:val="32"/>
          <w:lang w:val="en-US" w:eastAsia="zh-CN"/>
        </w:rPr>
        <w:t>3.43</w:t>
      </w:r>
      <w:r>
        <w:rPr>
          <w:rFonts w:hint="eastAsia" w:ascii="仿宋_GB2312" w:hAnsi="仿宋_GB2312" w:eastAsia="仿宋_GB2312" w:cs="仿宋_GB2312"/>
          <w:color w:val="000000"/>
          <w:sz w:val="32"/>
          <w:szCs w:val="32"/>
        </w:rPr>
        <w:t>万元，占1.2</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%；城区社区支出</w:t>
      </w:r>
      <w:r>
        <w:rPr>
          <w:rFonts w:hint="eastAsia" w:ascii="仿宋_GB2312" w:hAnsi="仿宋_GB2312" w:eastAsia="仿宋_GB2312" w:cs="仿宋_GB2312"/>
          <w:color w:val="000000"/>
          <w:sz w:val="32"/>
          <w:szCs w:val="32"/>
          <w:lang w:val="en-US" w:eastAsia="zh-CN"/>
        </w:rPr>
        <w:t>204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19.56</w:t>
      </w:r>
      <w:r>
        <w:rPr>
          <w:rFonts w:hint="eastAsia" w:ascii="仿宋_GB2312" w:hAnsi="仿宋_GB2312" w:eastAsia="仿宋_GB2312" w:cs="仿宋_GB2312"/>
          <w:color w:val="000000"/>
          <w:sz w:val="32"/>
          <w:szCs w:val="32"/>
        </w:rPr>
        <w:t>%；农林水支出</w:t>
      </w:r>
      <w:r>
        <w:rPr>
          <w:rFonts w:hint="eastAsia" w:ascii="仿宋_GB2312" w:hAnsi="仿宋_GB2312" w:eastAsia="仿宋_GB2312" w:cs="仿宋_GB2312"/>
          <w:color w:val="000000"/>
          <w:sz w:val="32"/>
          <w:szCs w:val="32"/>
          <w:lang w:val="en-US" w:eastAsia="zh-CN"/>
        </w:rPr>
        <w:t>330.49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31.69</w:t>
      </w:r>
      <w:r>
        <w:rPr>
          <w:rFonts w:hint="eastAsia" w:ascii="仿宋_GB2312" w:hAnsi="仿宋_GB2312" w:eastAsia="仿宋_GB2312" w:cs="仿宋_GB2312"/>
          <w:color w:val="000000"/>
          <w:sz w:val="32"/>
          <w:szCs w:val="32"/>
        </w:rPr>
        <w:t>%；交通运输1万元，占</w:t>
      </w:r>
      <w:r>
        <w:rPr>
          <w:rFonts w:hint="eastAsia" w:ascii="仿宋_GB2312" w:hAnsi="仿宋_GB2312" w:eastAsia="仿宋_GB2312" w:cs="仿宋_GB2312"/>
          <w:color w:val="000000"/>
          <w:sz w:val="32"/>
          <w:szCs w:val="32"/>
          <w:lang w:val="en-US" w:eastAsia="zh-CN"/>
        </w:rPr>
        <w:t>0.10</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val="en-US" w:eastAsia="zh-CN"/>
        </w:rPr>
        <w:t>24.53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2.35</w:t>
      </w:r>
      <w:r>
        <w:rPr>
          <w:rFonts w:hint="eastAsia" w:ascii="仿宋_GB2312" w:hAnsi="仿宋_GB2312" w:eastAsia="仿宋_GB2312" w:cs="仿宋_GB2312"/>
          <w:color w:val="000000"/>
          <w:sz w:val="32"/>
          <w:szCs w:val="32"/>
        </w:rPr>
        <w:t>%；灾害防治及应急管理支出</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1.92</w:t>
      </w:r>
      <w:r>
        <w:rPr>
          <w:rFonts w:hint="eastAsia" w:ascii="仿宋_GB2312" w:hAnsi="仿宋_GB2312" w:eastAsia="仿宋_GB2312" w:cs="仿宋_GB2312"/>
          <w:color w:val="000000"/>
          <w:sz w:val="32"/>
          <w:szCs w:val="32"/>
        </w:rPr>
        <w:t>%。</w:t>
      </w:r>
    </w:p>
    <w:p>
      <w:pPr>
        <w:spacing w:line="576" w:lineRule="exact"/>
        <w:jc w:val="both"/>
        <w:rPr>
          <w:rFonts w:hint="eastAsia" w:ascii="仿宋" w:hAnsi="仿宋" w:eastAsia="仿宋"/>
          <w:b/>
          <w:sz w:val="32"/>
          <w:szCs w:val="32"/>
        </w:rPr>
      </w:pPr>
      <w:r>
        <w:rPr>
          <w:rFonts w:hint="eastAsia" w:ascii="仿宋" w:hAnsi="仿宋" w:eastAsia="仿宋"/>
          <w:color w:val="000000" w:themeColor="text1"/>
          <w:sz w:val="32"/>
          <w:szCs w:val="32"/>
        </w:rPr>
        <w:drawing>
          <wp:anchor distT="0" distB="0" distL="114300" distR="114300" simplePos="0" relativeHeight="251659264" behindDoc="0" locked="0" layoutInCell="1" allowOverlap="1">
            <wp:simplePos x="0" y="0"/>
            <wp:positionH relativeFrom="column">
              <wp:posOffset>674370</wp:posOffset>
            </wp:positionH>
            <wp:positionV relativeFrom="paragraph">
              <wp:posOffset>5080</wp:posOffset>
            </wp:positionV>
            <wp:extent cx="5283200" cy="2522855"/>
            <wp:effectExtent l="4445" t="4445" r="8255" b="12700"/>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576" w:lineRule="exact"/>
        <w:jc w:val="center"/>
        <w:rPr>
          <w:rFonts w:hint="eastAsia" w:ascii="仿宋" w:hAnsi="仿宋" w:eastAsia="仿宋"/>
          <w:b/>
          <w:sz w:val="32"/>
          <w:szCs w:val="32"/>
        </w:rPr>
      </w:pPr>
    </w:p>
    <w:p>
      <w:pPr>
        <w:spacing w:line="576" w:lineRule="exact"/>
        <w:jc w:val="center"/>
        <w:rPr>
          <w:rFonts w:hint="eastAsia" w:ascii="仿宋" w:hAnsi="仿宋" w:eastAsia="仿宋"/>
          <w:b/>
          <w:sz w:val="32"/>
          <w:szCs w:val="32"/>
        </w:rPr>
      </w:pPr>
    </w:p>
    <w:p>
      <w:pPr>
        <w:spacing w:line="576" w:lineRule="exact"/>
        <w:jc w:val="center"/>
        <w:rPr>
          <w:rFonts w:hint="eastAsia" w:ascii="仿宋" w:hAnsi="仿宋" w:eastAsia="仿宋"/>
          <w:b/>
          <w:sz w:val="32"/>
          <w:szCs w:val="32"/>
        </w:rPr>
      </w:pPr>
    </w:p>
    <w:p>
      <w:pPr>
        <w:spacing w:line="576" w:lineRule="exact"/>
        <w:jc w:val="center"/>
        <w:rPr>
          <w:rFonts w:hint="eastAsia" w:ascii="仿宋" w:hAnsi="仿宋" w:eastAsia="仿宋"/>
          <w:b/>
          <w:sz w:val="32"/>
          <w:szCs w:val="32"/>
        </w:rPr>
      </w:pPr>
    </w:p>
    <w:p>
      <w:pPr>
        <w:spacing w:line="576" w:lineRule="exact"/>
        <w:jc w:val="center"/>
        <w:rPr>
          <w:rFonts w:hint="eastAsia" w:ascii="仿宋" w:hAnsi="仿宋" w:eastAsia="仿宋"/>
          <w:b/>
          <w:sz w:val="32"/>
          <w:szCs w:val="32"/>
        </w:rPr>
      </w:pPr>
      <w:bookmarkStart w:id="69" w:name="_Toc15377212"/>
    </w:p>
    <w:p>
      <w:pPr>
        <w:spacing w:line="576" w:lineRule="exact"/>
        <w:jc w:val="center"/>
        <w:rPr>
          <w:rFonts w:hint="eastAsia" w:ascii="仿宋" w:hAnsi="仿宋" w:eastAsia="仿宋"/>
          <w:b/>
          <w:sz w:val="32"/>
          <w:szCs w:val="32"/>
        </w:rPr>
      </w:pPr>
    </w:p>
    <w:p>
      <w:pPr>
        <w:spacing w:line="576" w:lineRule="exact"/>
        <w:jc w:val="center"/>
        <w:rPr>
          <w:rFonts w:hint="eastAsia" w:ascii="仿宋" w:hAnsi="仿宋" w:eastAsia="仿宋"/>
          <w:b/>
          <w:sz w:val="32"/>
          <w:szCs w:val="32"/>
        </w:rPr>
      </w:pPr>
      <w:r>
        <w:rPr>
          <w:rFonts w:hint="eastAsia" w:ascii="仿宋" w:hAnsi="仿宋" w:eastAsia="仿宋"/>
          <w:b/>
          <w:sz w:val="32"/>
          <w:szCs w:val="32"/>
        </w:rPr>
        <w:t>(图六</w:t>
      </w:r>
      <w:r>
        <w:rPr>
          <w:rFonts w:hint="eastAsia" w:ascii="黑体" w:hAnsi="黑体" w:eastAsia="黑体" w:cs="黑体"/>
          <w:color w:val="000000" w:themeColor="text1"/>
          <w:sz w:val="32"/>
          <w:szCs w:val="32"/>
        </w:rPr>
        <w:t>一般公共预算财政拨款支出决算结构</w:t>
      </w:r>
      <w:r>
        <w:rPr>
          <w:rFonts w:hint="eastAsia" w:ascii="仿宋" w:hAnsi="仿宋" w:eastAsia="仿宋"/>
          <w:b/>
          <w:sz w:val="32"/>
          <w:szCs w:val="32"/>
        </w:rPr>
        <w:t>)</w:t>
      </w:r>
    </w:p>
    <w:p>
      <w:pPr>
        <w:spacing w:line="576" w:lineRule="exact"/>
        <w:ind w:firstLine="642" w:firstLineChars="200"/>
        <w:outlineLvl w:val="2"/>
        <w:rPr>
          <w:rFonts w:hint="eastAsia" w:ascii="楷体_GB2312" w:hAnsi="楷体_GB2312" w:eastAsia="楷体_GB2312" w:cs="楷体_GB2312"/>
          <w:b/>
          <w:sz w:val="32"/>
          <w:szCs w:val="32"/>
        </w:rPr>
      </w:pPr>
      <w:bookmarkStart w:id="70" w:name="_Toc765686300"/>
      <w:r>
        <w:rPr>
          <w:rFonts w:hint="eastAsia" w:ascii="楷体_GB2312" w:hAnsi="楷体_GB2312" w:eastAsia="楷体_GB2312" w:cs="楷体_GB2312"/>
          <w:b/>
          <w:sz w:val="32"/>
          <w:szCs w:val="32"/>
        </w:rPr>
        <w:t>（三）一般公共预算财政拨款支出决算具体情况</w:t>
      </w:r>
      <w:bookmarkEnd w:id="69"/>
      <w:bookmarkEnd w:id="70"/>
    </w:p>
    <w:p>
      <w:pPr>
        <w:widowControl/>
        <w:spacing w:line="576" w:lineRule="exact"/>
        <w:ind w:firstLine="640" w:firstLineChars="200"/>
        <w:rPr>
          <w:rFonts w:ascii="楷体_GB2312" w:hAnsi="楷体_GB2312" w:eastAsia="楷体_GB2312" w:cs="楷体_GB2312"/>
          <w:color w:val="000000"/>
          <w:sz w:val="32"/>
          <w:szCs w:val="32"/>
        </w:rPr>
      </w:pPr>
      <w:bookmarkStart w:id="71" w:name="_Toc15377444"/>
      <w:bookmarkStart w:id="72" w:name="_Toc15377213"/>
      <w:bookmarkStart w:id="73" w:name="_Toc15378460"/>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年一般公共预算支出决算数为</w:t>
      </w:r>
      <w:r>
        <w:rPr>
          <w:rFonts w:hint="eastAsia" w:ascii="仿宋_GB2312" w:hAnsi="仿宋_GB2312" w:eastAsia="仿宋_GB2312" w:cs="仿宋_GB2312"/>
          <w:color w:val="000000"/>
          <w:sz w:val="32"/>
          <w:szCs w:val="32"/>
          <w:lang w:val="en-US" w:eastAsia="zh-CN"/>
        </w:rPr>
        <w:t>1043.04</w:t>
      </w:r>
      <w:r>
        <w:rPr>
          <w:rFonts w:hint="eastAsia" w:ascii="仿宋_GB2312" w:hAnsi="仿宋_GB2312" w:eastAsia="仿宋_GB2312" w:cs="仿宋_GB2312"/>
          <w:color w:val="000000"/>
          <w:sz w:val="32"/>
          <w:szCs w:val="32"/>
        </w:rPr>
        <w:t>万元，完成预算100%。其中：</w:t>
      </w:r>
      <w:bookmarkEnd w:id="71"/>
      <w:bookmarkEnd w:id="72"/>
      <w:bookmarkEnd w:id="73"/>
    </w:p>
    <w:p>
      <w:pPr>
        <w:widowControl/>
        <w:numPr>
          <w:ilvl w:val="0"/>
          <w:numId w:val="0"/>
        </w:numPr>
        <w:spacing w:line="576" w:lineRule="exact"/>
        <w:ind w:firstLine="640" w:firstLineChars="200"/>
        <w:rPr>
          <w:rStyle w:val="17"/>
          <w:rFonts w:hint="eastAsia" w:ascii="仿宋_GB2312" w:eastAsia="仿宋_GB2312"/>
          <w:b w:val="0"/>
          <w:color w:val="000000"/>
          <w:sz w:val="32"/>
          <w:szCs w:val="32"/>
          <w:lang w:eastAsia="zh-CN"/>
        </w:rPr>
      </w:pPr>
      <w:r>
        <w:rPr>
          <w:rFonts w:hint="eastAsia" w:ascii="黑体" w:hAnsi="黑体" w:eastAsia="黑体" w:cs="黑体"/>
          <w:color w:val="000000"/>
          <w:sz w:val="32"/>
          <w:szCs w:val="32"/>
        </w:rPr>
        <w:t>一般公共服务支出（类）201，支出决算为</w:t>
      </w:r>
      <w:r>
        <w:rPr>
          <w:rFonts w:hint="eastAsia" w:ascii="黑体" w:hAnsi="黑体" w:eastAsia="黑体" w:cs="黑体"/>
          <w:color w:val="000000"/>
          <w:sz w:val="32"/>
          <w:szCs w:val="32"/>
          <w:lang w:val="en-US" w:eastAsia="zh-CN"/>
        </w:rPr>
        <w:t>415.79</w:t>
      </w:r>
      <w:r>
        <w:rPr>
          <w:rFonts w:hint="eastAsia" w:ascii="黑体" w:hAnsi="黑体" w:eastAsia="黑体" w:cs="黑体"/>
          <w:color w:val="000000"/>
          <w:sz w:val="32"/>
          <w:szCs w:val="32"/>
        </w:rPr>
        <w:t>万元，完成预算</w:t>
      </w:r>
      <w:r>
        <w:rPr>
          <w:rStyle w:val="17"/>
          <w:rFonts w:hint="eastAsia" w:ascii="黑体" w:hAnsi="黑体" w:eastAsia="黑体" w:cs="黑体"/>
          <w:b w:val="0"/>
          <w:color w:val="000000"/>
          <w:sz w:val="32"/>
          <w:szCs w:val="32"/>
        </w:rPr>
        <w:t>100%</w:t>
      </w:r>
      <w:r>
        <w:rPr>
          <w:rStyle w:val="17"/>
          <w:rFonts w:hint="eastAsia" w:ascii="黑体" w:hAnsi="黑体" w:eastAsia="黑体" w:cs="黑体"/>
          <w:b w:val="0"/>
          <w:color w:val="000000"/>
          <w:sz w:val="32"/>
          <w:szCs w:val="32"/>
          <w:lang w:eastAsia="zh-CN"/>
        </w:rPr>
        <w:t>。</w:t>
      </w:r>
    </w:p>
    <w:p>
      <w:pPr>
        <w:widowControl/>
        <w:numPr>
          <w:ilvl w:val="0"/>
          <w:numId w:val="3"/>
        </w:numPr>
        <w:spacing w:line="576" w:lineRule="exact"/>
        <w:ind w:left="-220" w:leftChars="0" w:firstLine="640" w:firstLineChars="0"/>
        <w:rPr>
          <w:rStyle w:val="17"/>
          <w:rFonts w:hint="eastAsia" w:ascii="仿宋_GB2312" w:hAnsi="仿宋_GB2312" w:eastAsia="仿宋_GB2312" w:cs="仿宋_GB2312"/>
          <w:b w:val="0"/>
          <w:color w:val="000000"/>
          <w:sz w:val="32"/>
          <w:szCs w:val="32"/>
        </w:rPr>
      </w:pPr>
      <w:r>
        <w:rPr>
          <w:rFonts w:hint="eastAsia" w:ascii="仿宋_GB2312" w:hAnsi="仿宋_GB2312" w:eastAsia="仿宋_GB2312" w:cs="仿宋_GB2312"/>
          <w:kern w:val="0"/>
          <w:sz w:val="32"/>
          <w:szCs w:val="32"/>
        </w:rPr>
        <w:t>一般公共服务支出（类）201政府办公厅（室）及相关机构事务（款）03行政运行（项）01</w:t>
      </w:r>
      <w:r>
        <w:rPr>
          <w:rFonts w:hint="eastAsia" w:ascii="仿宋_GB2312" w:hAnsi="仿宋_GB2312" w:eastAsia="仿宋_GB2312" w:cs="仿宋_GB2312"/>
          <w:kern w:val="0"/>
          <w:sz w:val="32"/>
          <w:szCs w:val="32"/>
          <w:lang w:eastAsia="zh-CN"/>
        </w:rPr>
        <w:t>：</w:t>
      </w:r>
      <w:r>
        <w:rPr>
          <w:rStyle w:val="17"/>
          <w:rFonts w:hint="eastAsia" w:ascii="仿宋_GB2312" w:hAnsi="仿宋_GB2312" w:eastAsia="仿宋_GB2312" w:cs="仿宋_GB2312"/>
          <w:b w:val="0"/>
          <w:color w:val="000000"/>
          <w:sz w:val="32"/>
          <w:szCs w:val="32"/>
        </w:rPr>
        <w:t>支出决算为</w:t>
      </w:r>
      <w:r>
        <w:rPr>
          <w:rStyle w:val="17"/>
          <w:rFonts w:hint="eastAsia" w:ascii="仿宋_GB2312" w:hAnsi="仿宋_GB2312" w:eastAsia="仿宋_GB2312" w:cs="仿宋_GB2312"/>
          <w:b w:val="0"/>
          <w:color w:val="000000"/>
          <w:sz w:val="32"/>
          <w:szCs w:val="32"/>
          <w:lang w:val="en-US" w:eastAsia="zh-CN"/>
        </w:rPr>
        <w:t>232.53</w:t>
      </w:r>
      <w:r>
        <w:rPr>
          <w:rStyle w:val="17"/>
          <w:rFonts w:hint="eastAsia" w:ascii="仿宋_GB2312" w:hAnsi="仿宋_GB2312" w:eastAsia="仿宋_GB2312" w:cs="仿宋_GB2312"/>
          <w:b w:val="0"/>
          <w:color w:val="000000"/>
          <w:sz w:val="32"/>
          <w:szCs w:val="32"/>
        </w:rPr>
        <w:t>万元</w:t>
      </w:r>
      <w:r>
        <w:rPr>
          <w:rStyle w:val="17"/>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widowControl/>
        <w:numPr>
          <w:ilvl w:val="0"/>
          <w:numId w:val="3"/>
        </w:numPr>
        <w:spacing w:line="576" w:lineRule="exact"/>
        <w:ind w:left="-220" w:leftChars="0" w:firstLine="640" w:firstLineChars="0"/>
        <w:rPr>
          <w:rStyle w:val="17"/>
          <w:rFonts w:hint="eastAsia" w:ascii="仿宋_GB2312" w:hAnsi="仿宋_GB2312" w:eastAsia="仿宋_GB2312" w:cs="仿宋_GB2312"/>
          <w:b w:val="0"/>
          <w:color w:val="000000"/>
          <w:sz w:val="32"/>
          <w:szCs w:val="32"/>
        </w:rPr>
      </w:pPr>
      <w:r>
        <w:rPr>
          <w:rFonts w:hint="eastAsia" w:ascii="仿宋_GB2312" w:hAnsi="仿宋_GB2312" w:eastAsia="仿宋_GB2312" w:cs="仿宋_GB2312"/>
          <w:kern w:val="0"/>
          <w:sz w:val="32"/>
          <w:szCs w:val="32"/>
        </w:rPr>
        <w:t>一般公共服务支出（类）201政府办公厅（室）及相关机构事务（款）03一般行政管理事务（项）02</w:t>
      </w:r>
      <w:r>
        <w:rPr>
          <w:rStyle w:val="17"/>
          <w:rFonts w:hint="eastAsia" w:ascii="仿宋_GB2312" w:hAnsi="仿宋_GB2312" w:eastAsia="仿宋_GB2312" w:cs="仿宋_GB2312"/>
          <w:b w:val="0"/>
          <w:color w:val="000000"/>
          <w:sz w:val="32"/>
          <w:szCs w:val="32"/>
        </w:rPr>
        <w:t>:支出决算为</w:t>
      </w:r>
      <w:r>
        <w:rPr>
          <w:rStyle w:val="17"/>
          <w:rFonts w:hint="eastAsia" w:ascii="仿宋_GB2312" w:hAnsi="仿宋_GB2312" w:eastAsia="仿宋_GB2312" w:cs="仿宋_GB2312"/>
          <w:b w:val="0"/>
          <w:color w:val="000000"/>
          <w:sz w:val="32"/>
          <w:szCs w:val="32"/>
          <w:lang w:val="en-US" w:eastAsia="zh-CN"/>
        </w:rPr>
        <w:t>79.28</w:t>
      </w:r>
      <w:r>
        <w:rPr>
          <w:rStyle w:val="17"/>
          <w:rFonts w:hint="eastAsia" w:ascii="仿宋_GB2312" w:hAnsi="仿宋_GB2312" w:eastAsia="仿宋_GB2312" w:cs="仿宋_GB2312"/>
          <w:b w:val="0"/>
          <w:color w:val="000000"/>
          <w:sz w:val="32"/>
          <w:szCs w:val="32"/>
        </w:rPr>
        <w:t>万元</w:t>
      </w:r>
      <w:r>
        <w:rPr>
          <w:rStyle w:val="17"/>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widowControl/>
        <w:numPr>
          <w:ilvl w:val="0"/>
          <w:numId w:val="3"/>
        </w:numPr>
        <w:spacing w:line="576" w:lineRule="exact"/>
        <w:ind w:left="-220" w:leftChars="0" w:firstLine="640" w:firstLineChars="0"/>
        <w:rPr>
          <w:rStyle w:val="17"/>
          <w:rFonts w:hint="eastAsia" w:ascii="仿宋_GB2312" w:hAnsi="仿宋_GB2312" w:eastAsia="仿宋_GB2312" w:cs="仿宋_GB2312"/>
          <w:b w:val="0"/>
          <w:color w:val="000000"/>
          <w:sz w:val="32"/>
          <w:szCs w:val="32"/>
        </w:rPr>
      </w:pPr>
      <w:r>
        <w:rPr>
          <w:rFonts w:hint="eastAsia" w:ascii="仿宋_GB2312" w:hAnsi="仿宋_GB2312" w:eastAsia="仿宋_GB2312" w:cs="仿宋_GB2312"/>
          <w:kern w:val="0"/>
          <w:sz w:val="32"/>
          <w:szCs w:val="32"/>
        </w:rPr>
        <w:t>一般公共服务支出（类）201政府办公厅（室）及相关机构事务（款）</w:t>
      </w:r>
      <w:r>
        <w:rPr>
          <w:rFonts w:hint="eastAsia" w:ascii="仿宋_GB2312" w:hAnsi="仿宋_GB2312" w:eastAsia="仿宋_GB2312" w:cs="仿宋_GB2312"/>
          <w:kern w:val="0"/>
          <w:sz w:val="32"/>
          <w:szCs w:val="32"/>
          <w:lang w:val="en-US" w:eastAsia="zh-CN"/>
        </w:rPr>
        <w:t>03</w:t>
      </w:r>
      <w:r>
        <w:rPr>
          <w:rFonts w:hint="eastAsia" w:ascii="仿宋_GB2312" w:hAnsi="仿宋_GB2312" w:eastAsia="仿宋_GB2312" w:cs="仿宋_GB2312"/>
          <w:kern w:val="0"/>
          <w:sz w:val="32"/>
          <w:szCs w:val="32"/>
        </w:rPr>
        <w:t>机关服务（项）03</w:t>
      </w:r>
      <w:r>
        <w:rPr>
          <w:rStyle w:val="17"/>
          <w:rFonts w:hint="eastAsia" w:ascii="仿宋_GB2312" w:hAnsi="仿宋_GB2312" w:eastAsia="仿宋_GB2312" w:cs="仿宋_GB2312"/>
          <w:b w:val="0"/>
          <w:color w:val="000000"/>
          <w:sz w:val="32"/>
          <w:szCs w:val="32"/>
        </w:rPr>
        <w:t>:支出决算为</w:t>
      </w:r>
      <w:r>
        <w:rPr>
          <w:rStyle w:val="17"/>
          <w:rFonts w:hint="eastAsia" w:ascii="仿宋_GB2312" w:hAnsi="仿宋_GB2312" w:eastAsia="仿宋_GB2312" w:cs="仿宋_GB2312"/>
          <w:b w:val="0"/>
          <w:color w:val="000000"/>
          <w:sz w:val="32"/>
          <w:szCs w:val="32"/>
          <w:lang w:val="en-US" w:eastAsia="zh-CN"/>
        </w:rPr>
        <w:t>29.36</w:t>
      </w:r>
      <w:r>
        <w:rPr>
          <w:rStyle w:val="17"/>
          <w:rFonts w:hint="eastAsia" w:ascii="仿宋_GB2312" w:hAnsi="仿宋_GB2312" w:eastAsia="仿宋_GB2312" w:cs="仿宋_GB2312"/>
          <w:b w:val="0"/>
          <w:color w:val="000000"/>
          <w:sz w:val="32"/>
          <w:szCs w:val="32"/>
        </w:rPr>
        <w:t>万元</w:t>
      </w:r>
      <w:r>
        <w:rPr>
          <w:rStyle w:val="17"/>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widowControl/>
        <w:numPr>
          <w:ilvl w:val="0"/>
          <w:numId w:val="3"/>
        </w:numPr>
        <w:spacing w:line="576" w:lineRule="exact"/>
        <w:ind w:left="-220" w:leftChars="0" w:firstLine="640" w:firstLineChars="0"/>
        <w:rPr>
          <w:rStyle w:val="17"/>
          <w:rFonts w:hint="eastAsia" w:ascii="仿宋_GB2312" w:hAnsi="仿宋_GB2312" w:eastAsia="仿宋_GB2312" w:cs="仿宋_GB2312"/>
          <w:b w:val="0"/>
          <w:color w:val="000000"/>
          <w:sz w:val="32"/>
          <w:szCs w:val="32"/>
        </w:rPr>
      </w:pPr>
      <w:r>
        <w:rPr>
          <w:rFonts w:hint="eastAsia" w:ascii="仿宋_GB2312" w:hAnsi="仿宋_GB2312" w:eastAsia="仿宋_GB2312" w:cs="仿宋_GB2312"/>
          <w:kern w:val="0"/>
          <w:sz w:val="32"/>
          <w:szCs w:val="32"/>
        </w:rPr>
        <w:t>一般公共服务支出（类）201政府办公厅（室）及相关机构事务（款）</w:t>
      </w:r>
      <w:r>
        <w:rPr>
          <w:rFonts w:hint="eastAsia" w:ascii="仿宋_GB2312" w:hAnsi="仿宋_GB2312" w:eastAsia="仿宋_GB2312" w:cs="仿宋_GB2312"/>
          <w:kern w:val="0"/>
          <w:sz w:val="32"/>
          <w:szCs w:val="32"/>
          <w:lang w:val="en-US" w:eastAsia="zh-CN"/>
        </w:rPr>
        <w:t>03信访事务</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val="en-US" w:eastAsia="zh-CN"/>
        </w:rPr>
        <w:t>08</w:t>
      </w:r>
      <w:r>
        <w:rPr>
          <w:rStyle w:val="17"/>
          <w:rFonts w:hint="eastAsia" w:ascii="仿宋_GB2312" w:hAnsi="仿宋_GB2312" w:eastAsia="仿宋_GB2312" w:cs="仿宋_GB2312"/>
          <w:b w:val="0"/>
          <w:color w:val="000000"/>
          <w:sz w:val="32"/>
          <w:szCs w:val="32"/>
        </w:rPr>
        <w:t>:支出决算为</w:t>
      </w:r>
      <w:r>
        <w:rPr>
          <w:rStyle w:val="17"/>
          <w:rFonts w:hint="eastAsia" w:ascii="仿宋_GB2312" w:hAnsi="仿宋_GB2312" w:eastAsia="仿宋_GB2312" w:cs="仿宋_GB2312"/>
          <w:b w:val="0"/>
          <w:color w:val="000000"/>
          <w:sz w:val="32"/>
          <w:szCs w:val="32"/>
          <w:lang w:val="en-US" w:eastAsia="zh-CN"/>
        </w:rPr>
        <w:t>5</w:t>
      </w:r>
      <w:r>
        <w:rPr>
          <w:rStyle w:val="17"/>
          <w:rFonts w:hint="eastAsia" w:ascii="仿宋_GB2312" w:hAnsi="仿宋_GB2312" w:eastAsia="仿宋_GB2312" w:cs="仿宋_GB2312"/>
          <w:b w:val="0"/>
          <w:color w:val="000000"/>
          <w:sz w:val="32"/>
          <w:szCs w:val="32"/>
        </w:rPr>
        <w:t>万元</w:t>
      </w:r>
      <w:r>
        <w:rPr>
          <w:rStyle w:val="17"/>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widowControl/>
        <w:numPr>
          <w:ilvl w:val="0"/>
          <w:numId w:val="3"/>
        </w:numPr>
        <w:spacing w:line="576" w:lineRule="exact"/>
        <w:ind w:left="-220" w:leftChars="0" w:firstLine="640" w:firstLineChars="0"/>
        <w:rPr>
          <w:rStyle w:val="17"/>
          <w:rFonts w:hint="eastAsia" w:ascii="仿宋_GB2312" w:hAnsi="仿宋_GB2312" w:eastAsia="仿宋_GB2312" w:cs="仿宋_GB2312"/>
          <w:b w:val="0"/>
          <w:color w:val="000000"/>
          <w:sz w:val="32"/>
          <w:szCs w:val="32"/>
        </w:rPr>
      </w:pPr>
      <w:r>
        <w:rPr>
          <w:rFonts w:hint="eastAsia" w:ascii="仿宋_GB2312" w:hAnsi="仿宋_GB2312" w:eastAsia="仿宋_GB2312" w:cs="仿宋_GB2312"/>
          <w:kern w:val="0"/>
          <w:sz w:val="32"/>
          <w:szCs w:val="32"/>
        </w:rPr>
        <w:t>一般公共服务支出（类）201政府办公厅（室）及相关机构事务（款）</w:t>
      </w:r>
      <w:r>
        <w:rPr>
          <w:rFonts w:hint="eastAsia" w:ascii="仿宋_GB2312" w:hAnsi="仿宋_GB2312" w:eastAsia="仿宋_GB2312" w:cs="仿宋_GB2312"/>
          <w:kern w:val="0"/>
          <w:sz w:val="32"/>
          <w:szCs w:val="32"/>
          <w:lang w:val="en-US" w:eastAsia="zh-CN"/>
        </w:rPr>
        <w:t>03</w:t>
      </w:r>
      <w:r>
        <w:rPr>
          <w:rFonts w:hint="eastAsia" w:ascii="仿宋_GB2312" w:hAnsi="仿宋_GB2312" w:eastAsia="仿宋_GB2312" w:cs="仿宋_GB2312"/>
          <w:kern w:val="0"/>
          <w:sz w:val="32"/>
          <w:szCs w:val="32"/>
        </w:rPr>
        <w:t>其他政府办公厅（室）及相关机构事务支出（项）99</w:t>
      </w:r>
      <w:r>
        <w:rPr>
          <w:rStyle w:val="17"/>
          <w:rFonts w:hint="eastAsia" w:ascii="仿宋_GB2312" w:hAnsi="仿宋_GB2312" w:eastAsia="仿宋_GB2312" w:cs="仿宋_GB2312"/>
          <w:b w:val="0"/>
          <w:color w:val="000000"/>
          <w:sz w:val="32"/>
          <w:szCs w:val="32"/>
        </w:rPr>
        <w:t>:支出决算为</w:t>
      </w:r>
      <w:r>
        <w:rPr>
          <w:rStyle w:val="17"/>
          <w:rFonts w:hint="eastAsia" w:ascii="仿宋_GB2312" w:hAnsi="仿宋_GB2312" w:eastAsia="仿宋_GB2312" w:cs="仿宋_GB2312"/>
          <w:b w:val="0"/>
          <w:color w:val="000000"/>
          <w:sz w:val="32"/>
          <w:szCs w:val="32"/>
          <w:lang w:val="en-US" w:eastAsia="zh-CN"/>
        </w:rPr>
        <w:t>25</w:t>
      </w:r>
      <w:r>
        <w:rPr>
          <w:rStyle w:val="17"/>
          <w:rFonts w:hint="eastAsia" w:ascii="仿宋_GB2312" w:hAnsi="仿宋_GB2312" w:eastAsia="仿宋_GB2312" w:cs="仿宋_GB2312"/>
          <w:b w:val="0"/>
          <w:color w:val="000000"/>
          <w:sz w:val="32"/>
          <w:szCs w:val="32"/>
        </w:rPr>
        <w:t>万元</w:t>
      </w:r>
      <w:r>
        <w:rPr>
          <w:rStyle w:val="17"/>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widowControl/>
        <w:numPr>
          <w:ilvl w:val="0"/>
          <w:numId w:val="3"/>
        </w:numPr>
        <w:spacing w:line="576" w:lineRule="exact"/>
        <w:ind w:left="-220" w:leftChars="0" w:firstLine="640" w:firstLineChars="0"/>
        <w:rPr>
          <w:rStyle w:val="17"/>
          <w:rFonts w:hint="eastAsia" w:ascii="仿宋_GB2312" w:hAnsi="仿宋_GB2312" w:eastAsia="仿宋_GB2312" w:cs="仿宋_GB2312"/>
          <w:b w:val="0"/>
          <w:color w:val="000000"/>
          <w:sz w:val="32"/>
          <w:szCs w:val="32"/>
        </w:rPr>
      </w:pPr>
      <w:r>
        <w:rPr>
          <w:rFonts w:hint="eastAsia" w:ascii="仿宋_GB2312" w:hAnsi="仿宋_GB2312" w:eastAsia="仿宋_GB2312" w:cs="仿宋_GB2312"/>
          <w:kern w:val="0"/>
          <w:sz w:val="32"/>
          <w:szCs w:val="32"/>
        </w:rPr>
        <w:t>一般公共服务支出（类）201纪检监察事务（款）08</w:t>
      </w:r>
      <w:r>
        <w:rPr>
          <w:rFonts w:hint="eastAsia" w:ascii="仿宋_GB2312" w:hAnsi="仿宋_GB2312" w:eastAsia="仿宋_GB2312" w:cs="仿宋_GB2312"/>
          <w:color w:val="000000"/>
          <w:sz w:val="32"/>
          <w:szCs w:val="32"/>
        </w:rPr>
        <w:t>一般行政管理事务（项）04</w:t>
      </w:r>
      <w:r>
        <w:rPr>
          <w:rStyle w:val="17"/>
          <w:rFonts w:hint="eastAsia" w:ascii="仿宋_GB2312" w:hAnsi="仿宋_GB2312" w:eastAsia="仿宋_GB2312" w:cs="仿宋_GB2312"/>
          <w:b w:val="0"/>
          <w:color w:val="000000"/>
          <w:sz w:val="32"/>
          <w:szCs w:val="32"/>
        </w:rPr>
        <w:t>：支出决算为2万元</w:t>
      </w:r>
      <w:r>
        <w:rPr>
          <w:rStyle w:val="17"/>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widowControl/>
        <w:numPr>
          <w:ilvl w:val="0"/>
          <w:numId w:val="3"/>
        </w:numPr>
        <w:spacing w:line="576" w:lineRule="exact"/>
        <w:ind w:left="-220" w:leftChars="0" w:firstLine="640" w:firstLineChars="0"/>
        <w:rPr>
          <w:rStyle w:val="17"/>
          <w:rFonts w:hint="eastAsia" w:ascii="仿宋_GB2312" w:hAnsi="仿宋_GB2312" w:eastAsia="仿宋_GB2312" w:cs="仿宋_GB2312"/>
          <w:b w:val="0"/>
          <w:color w:val="000000"/>
          <w:sz w:val="32"/>
          <w:szCs w:val="32"/>
        </w:rPr>
      </w:pPr>
      <w:r>
        <w:rPr>
          <w:rFonts w:hint="eastAsia" w:ascii="仿宋_GB2312" w:hAnsi="仿宋_GB2312" w:eastAsia="仿宋_GB2312" w:cs="仿宋_GB2312"/>
          <w:kern w:val="0"/>
          <w:sz w:val="32"/>
          <w:szCs w:val="32"/>
        </w:rPr>
        <w:t>一般公共服务支出（类）201</w:t>
      </w:r>
      <w:r>
        <w:rPr>
          <w:rFonts w:hint="eastAsia" w:ascii="仿宋_GB2312" w:hAnsi="仿宋_GB2312" w:eastAsia="仿宋_GB2312" w:cs="仿宋_GB2312"/>
          <w:color w:val="000000"/>
          <w:sz w:val="32"/>
          <w:szCs w:val="32"/>
        </w:rPr>
        <w:t>市场监督管理事务（款）38</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其他市场监督管理事务（项）99</w:t>
      </w:r>
      <w:r>
        <w:rPr>
          <w:rStyle w:val="17"/>
          <w:rFonts w:hint="eastAsia" w:ascii="仿宋_GB2312" w:hAnsi="仿宋_GB2312" w:eastAsia="仿宋_GB2312" w:cs="仿宋_GB2312"/>
          <w:b w:val="0"/>
          <w:color w:val="000000"/>
          <w:sz w:val="32"/>
          <w:szCs w:val="32"/>
          <w:lang w:val="en-US" w:eastAsia="zh-CN"/>
        </w:rPr>
        <w:t>支出2万元</w:t>
      </w:r>
      <w:r>
        <w:rPr>
          <w:rStyle w:val="17"/>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widowControl/>
        <w:numPr>
          <w:ilvl w:val="0"/>
          <w:numId w:val="3"/>
        </w:numPr>
        <w:spacing w:line="576" w:lineRule="exact"/>
        <w:ind w:left="-220" w:leftChars="0" w:firstLine="640" w:firstLineChars="0"/>
        <w:rPr>
          <w:rStyle w:val="17"/>
          <w:rFonts w:hint="eastAsia" w:ascii="仿宋_GB2312" w:hAnsi="仿宋_GB2312" w:eastAsia="仿宋_GB2312" w:cs="仿宋_GB2312"/>
          <w:b w:val="0"/>
          <w:color w:val="000000"/>
          <w:sz w:val="32"/>
          <w:szCs w:val="32"/>
        </w:rPr>
      </w:pPr>
      <w:r>
        <w:rPr>
          <w:rFonts w:hint="eastAsia" w:ascii="仿宋_GB2312" w:hAnsi="仿宋_GB2312" w:eastAsia="仿宋_GB2312" w:cs="仿宋_GB2312"/>
          <w:kern w:val="0"/>
          <w:sz w:val="32"/>
          <w:szCs w:val="32"/>
        </w:rPr>
        <w:t>一般公共服务支出（类）201</w:t>
      </w:r>
      <w:r>
        <w:rPr>
          <w:rFonts w:hint="eastAsia" w:ascii="仿宋_GB2312" w:hAnsi="仿宋_GB2312" w:eastAsia="仿宋_GB2312" w:cs="仿宋_GB2312"/>
          <w:color w:val="000000"/>
          <w:sz w:val="32"/>
          <w:szCs w:val="32"/>
        </w:rPr>
        <w:t>其他一般公共服务支出（款）99其他一般公共服务支出（项）99</w:t>
      </w:r>
      <w:r>
        <w:rPr>
          <w:rStyle w:val="17"/>
          <w:rFonts w:hint="eastAsia" w:ascii="仿宋_GB2312" w:hAnsi="仿宋_GB2312" w:eastAsia="仿宋_GB2312" w:cs="仿宋_GB2312"/>
          <w:b w:val="0"/>
          <w:color w:val="000000"/>
          <w:sz w:val="32"/>
          <w:szCs w:val="32"/>
        </w:rPr>
        <w:t>：支出决算为</w:t>
      </w:r>
      <w:r>
        <w:rPr>
          <w:rStyle w:val="17"/>
          <w:rFonts w:hint="eastAsia" w:ascii="仿宋_GB2312" w:hAnsi="仿宋_GB2312" w:eastAsia="仿宋_GB2312" w:cs="仿宋_GB2312"/>
          <w:b w:val="0"/>
          <w:color w:val="000000"/>
          <w:sz w:val="32"/>
          <w:szCs w:val="32"/>
          <w:lang w:val="en-US" w:eastAsia="zh-CN"/>
        </w:rPr>
        <w:t>40.62</w:t>
      </w:r>
      <w:r>
        <w:rPr>
          <w:rStyle w:val="17"/>
          <w:rFonts w:hint="eastAsia" w:ascii="仿宋_GB2312" w:hAnsi="仿宋_GB2312" w:eastAsia="仿宋_GB2312" w:cs="仿宋_GB2312"/>
          <w:b w:val="0"/>
          <w:color w:val="000000"/>
          <w:sz w:val="32"/>
          <w:szCs w:val="32"/>
        </w:rPr>
        <w:t>万元</w:t>
      </w:r>
      <w:r>
        <w:rPr>
          <w:rStyle w:val="17"/>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widowControl/>
        <w:numPr>
          <w:ilvl w:val="0"/>
          <w:numId w:val="0"/>
        </w:numPr>
        <w:spacing w:line="576" w:lineRule="exact"/>
        <w:ind w:firstLine="640" w:firstLineChars="200"/>
        <w:rPr>
          <w:rFonts w:hint="eastAsia" w:ascii="楷体_GB2312" w:hAnsi="楷体_GB2312" w:eastAsia="楷体_GB2312" w:cs="楷体_GB2312"/>
          <w:color w:val="000000"/>
          <w:sz w:val="32"/>
          <w:szCs w:val="32"/>
          <w:lang w:eastAsia="zh-CN"/>
        </w:rPr>
      </w:pPr>
      <w:r>
        <w:rPr>
          <w:rFonts w:hint="eastAsia" w:ascii="黑体" w:hAnsi="黑体" w:eastAsia="黑体" w:cs="黑体"/>
          <w:color w:val="000000"/>
          <w:sz w:val="32"/>
          <w:szCs w:val="32"/>
        </w:rPr>
        <w:t>公共安全支出（类）204，支出决算为</w:t>
      </w:r>
      <w:r>
        <w:rPr>
          <w:rFonts w:hint="eastAsia" w:ascii="黑体" w:hAnsi="黑体" w:eastAsia="黑体" w:cs="黑体"/>
          <w:color w:val="000000"/>
          <w:sz w:val="32"/>
          <w:szCs w:val="32"/>
          <w:lang w:val="en-US" w:eastAsia="zh-CN"/>
        </w:rPr>
        <w:t>2</w:t>
      </w:r>
      <w:r>
        <w:rPr>
          <w:rFonts w:hint="eastAsia" w:ascii="黑体" w:hAnsi="黑体" w:eastAsia="黑体" w:cs="黑体"/>
          <w:color w:val="000000"/>
          <w:sz w:val="32"/>
          <w:szCs w:val="32"/>
        </w:rPr>
        <w:t>万元，完成预算100%</w:t>
      </w:r>
      <w:r>
        <w:rPr>
          <w:rFonts w:hint="eastAsia" w:ascii="楷体_GB2312" w:hAnsi="楷体_GB2312" w:eastAsia="楷体_GB2312" w:cs="楷体_GB2312"/>
          <w:color w:val="000000"/>
          <w:sz w:val="32"/>
          <w:szCs w:val="32"/>
          <w:lang w:eastAsia="zh-CN"/>
        </w:rPr>
        <w:t>。</w:t>
      </w:r>
    </w:p>
    <w:p>
      <w:pPr>
        <w:pStyle w:val="2"/>
        <w:numPr>
          <w:ilvl w:val="0"/>
          <w:numId w:val="0"/>
        </w:numPr>
        <w:ind w:firstLine="300" w:firstLineChars="100"/>
        <w:rPr>
          <w:rStyle w:val="17"/>
          <w:rFonts w:hint="eastAsia" w:ascii="仿宋_GB2312" w:hAnsi="仿宋_GB2312" w:eastAsia="仿宋_GB2312" w:cs="仿宋_GB2312"/>
          <w:b w:val="0"/>
          <w:color w:val="000000"/>
          <w:sz w:val="32"/>
          <w:szCs w:val="32"/>
          <w:lang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color w:val="000000"/>
          <w:sz w:val="32"/>
          <w:szCs w:val="32"/>
        </w:rPr>
        <w:t>公共安全支出（类）</w:t>
      </w:r>
      <w:r>
        <w:rPr>
          <w:rFonts w:hint="eastAsia" w:ascii="仿宋_GB2312" w:hAnsi="仿宋_GB2312" w:eastAsia="仿宋_GB2312" w:cs="仿宋_GB2312"/>
          <w:color w:val="000000"/>
          <w:sz w:val="32"/>
          <w:szCs w:val="32"/>
          <w:lang w:val="en-US" w:eastAsia="zh-CN"/>
        </w:rPr>
        <w:t>204</w:t>
      </w:r>
      <w:r>
        <w:rPr>
          <w:rFonts w:hint="eastAsia" w:ascii="仿宋_GB2312" w:hAnsi="仿宋_GB2312" w:eastAsia="仿宋_GB2312" w:cs="仿宋_GB2312"/>
          <w:color w:val="000000"/>
          <w:sz w:val="32"/>
          <w:szCs w:val="32"/>
        </w:rPr>
        <w:t>司法（款）06普法宣传（项）05</w:t>
      </w:r>
      <w:r>
        <w:rPr>
          <w:rStyle w:val="17"/>
          <w:rFonts w:hint="eastAsia" w:ascii="仿宋_GB2312" w:hAnsi="仿宋_GB2312" w:eastAsia="仿宋_GB2312" w:cs="仿宋_GB2312"/>
          <w:b w:val="0"/>
          <w:color w:val="000000"/>
          <w:sz w:val="32"/>
          <w:szCs w:val="32"/>
        </w:rPr>
        <w:t>：支出决算为2万元</w:t>
      </w:r>
      <w:r>
        <w:rPr>
          <w:rStyle w:val="17"/>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pStyle w:val="2"/>
        <w:numPr>
          <w:ilvl w:val="0"/>
          <w:numId w:val="0"/>
        </w:numPr>
        <w:ind w:firstLine="640" w:firstLineChars="200"/>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社会保障和就业支出（类）208，支出决算为</w:t>
      </w:r>
      <w:r>
        <w:rPr>
          <w:rFonts w:hint="eastAsia" w:ascii="黑体" w:hAnsi="黑体" w:eastAsia="黑体" w:cs="黑体"/>
          <w:color w:val="000000"/>
          <w:sz w:val="32"/>
          <w:szCs w:val="32"/>
          <w:lang w:val="en-US" w:eastAsia="zh-CN"/>
        </w:rPr>
        <w:t>31.80</w:t>
      </w:r>
      <w:r>
        <w:rPr>
          <w:rFonts w:hint="eastAsia" w:ascii="黑体" w:hAnsi="黑体" w:eastAsia="黑体" w:cs="黑体"/>
          <w:color w:val="000000"/>
          <w:sz w:val="32"/>
          <w:szCs w:val="32"/>
        </w:rPr>
        <w:t>万元，完成预算100%</w:t>
      </w:r>
      <w:r>
        <w:rPr>
          <w:rFonts w:hint="eastAsia" w:ascii="黑体" w:hAnsi="黑体" w:eastAsia="黑体" w:cs="黑体"/>
          <w:color w:val="000000"/>
          <w:sz w:val="32"/>
          <w:szCs w:val="32"/>
          <w:lang w:eastAsia="zh-CN"/>
        </w:rPr>
        <w:t>。</w:t>
      </w:r>
    </w:p>
    <w:p>
      <w:pPr>
        <w:pStyle w:val="2"/>
        <w:numPr>
          <w:ilvl w:val="0"/>
          <w:numId w:val="0"/>
        </w:numPr>
        <w:ind w:firstLine="300" w:firstLineChars="1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1.社会保障和就业支出（类）208行政事业单位养老支出（款）05机关事业单位基本养老保险缴费支出（项）05：支出决算为24.85万元，完成预算100%。</w:t>
      </w:r>
    </w:p>
    <w:p>
      <w:pPr>
        <w:pStyle w:val="2"/>
        <w:numPr>
          <w:ilvl w:val="0"/>
          <w:numId w:val="0"/>
        </w:numPr>
        <w:ind w:firstLine="300" w:firstLineChars="1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2.社会保障和就业支出（类）208行政事业单位养老支出（款）05机关事业单位职业年金缴费支出（项）06：支出决  算为6.95万元，完成预算100%。</w:t>
      </w:r>
    </w:p>
    <w:p>
      <w:pPr>
        <w:spacing w:line="576" w:lineRule="exact"/>
        <w:ind w:firstLine="640" w:firstLineChars="200"/>
        <w:rPr>
          <w:rStyle w:val="17"/>
          <w:rFonts w:hint="eastAsia" w:ascii="仿宋_GB2312" w:eastAsia="仿宋_GB2312"/>
          <w:b w:val="0"/>
          <w:color w:val="000000"/>
          <w:sz w:val="32"/>
          <w:szCs w:val="32"/>
          <w:lang w:eastAsia="zh-CN"/>
        </w:rPr>
      </w:pPr>
      <w:r>
        <w:rPr>
          <w:rFonts w:hint="eastAsia" w:ascii="黑体" w:hAnsi="黑体" w:eastAsia="黑体" w:cs="黑体"/>
          <w:color w:val="000000"/>
          <w:sz w:val="32"/>
          <w:szCs w:val="32"/>
        </w:rPr>
        <w:t>卫生健康支出（类）210，支出决算为</w:t>
      </w:r>
      <w:r>
        <w:rPr>
          <w:rFonts w:hint="eastAsia" w:ascii="黑体" w:hAnsi="黑体" w:eastAsia="黑体" w:cs="黑体"/>
          <w:color w:val="000000"/>
          <w:sz w:val="32"/>
          <w:szCs w:val="32"/>
          <w:lang w:val="en-US" w:eastAsia="zh-CN"/>
        </w:rPr>
        <w:t>13.43</w:t>
      </w:r>
      <w:r>
        <w:rPr>
          <w:rFonts w:hint="eastAsia" w:ascii="黑体" w:hAnsi="黑体" w:eastAsia="黑体" w:cs="黑体"/>
          <w:color w:val="000000"/>
          <w:sz w:val="32"/>
          <w:szCs w:val="32"/>
        </w:rPr>
        <w:t>万元，完成预算</w:t>
      </w:r>
      <w:r>
        <w:rPr>
          <w:rStyle w:val="17"/>
          <w:rFonts w:hint="eastAsia" w:ascii="黑体" w:hAnsi="黑体" w:eastAsia="黑体" w:cs="黑体"/>
          <w:b w:val="0"/>
          <w:color w:val="000000"/>
          <w:sz w:val="32"/>
          <w:szCs w:val="32"/>
        </w:rPr>
        <w:t>100%</w:t>
      </w:r>
      <w:r>
        <w:rPr>
          <w:rStyle w:val="17"/>
          <w:rFonts w:hint="eastAsia" w:ascii="仿宋_GB2312" w:eastAsia="仿宋_GB2312"/>
          <w:b w:val="0"/>
          <w:color w:val="000000"/>
          <w:sz w:val="32"/>
          <w:szCs w:val="32"/>
          <w:lang w:eastAsia="zh-CN"/>
        </w:rPr>
        <w:t>。</w:t>
      </w:r>
    </w:p>
    <w:p>
      <w:pPr>
        <w:numPr>
          <w:ilvl w:val="0"/>
          <w:numId w:val="0"/>
        </w:numPr>
        <w:spacing w:line="576" w:lineRule="exact"/>
        <w:ind w:firstLine="300" w:firstLineChars="100"/>
        <w:rPr>
          <w:rFonts w:hint="eastAsia" w:ascii="仿宋_GB2312" w:hAnsi="仿宋_GB2312" w:eastAsia="仿宋_GB2312" w:cs="仿宋_GB2312"/>
          <w:kern w:val="0"/>
          <w:sz w:val="30"/>
          <w:szCs w:val="24"/>
          <w:lang w:val="en-US" w:eastAsia="zh-CN" w:bidi="ar-SA"/>
        </w:rPr>
      </w:pPr>
      <w:r>
        <w:rPr>
          <w:rFonts w:hint="eastAsia" w:ascii="仿宋_GB2312" w:hAnsi="仿宋_GB2312" w:eastAsia="仿宋_GB2312" w:cs="仿宋_GB2312"/>
          <w:kern w:val="0"/>
          <w:sz w:val="30"/>
          <w:szCs w:val="24"/>
          <w:lang w:val="en-US" w:eastAsia="zh-CN" w:bidi="ar-SA"/>
        </w:rPr>
        <w:t>1.卫生健康支出（类）210，公共卫生（类）04其他公共卫生支出99：支出决算为1万元，完成预算100%。</w:t>
      </w:r>
    </w:p>
    <w:p>
      <w:pPr>
        <w:numPr>
          <w:ilvl w:val="0"/>
          <w:numId w:val="0"/>
        </w:numPr>
        <w:spacing w:line="576" w:lineRule="exact"/>
        <w:ind w:firstLine="300" w:firstLineChars="100"/>
        <w:rPr>
          <w:rFonts w:hint="eastAsia" w:ascii="仿宋_GB2312" w:hAnsi="仿宋_GB2312" w:eastAsia="仿宋_GB2312" w:cs="仿宋_GB2312"/>
          <w:kern w:val="0"/>
          <w:sz w:val="30"/>
          <w:szCs w:val="24"/>
          <w:lang w:val="en-US" w:eastAsia="zh-CN" w:bidi="ar-SA"/>
        </w:rPr>
      </w:pPr>
      <w:r>
        <w:rPr>
          <w:rFonts w:hint="eastAsia" w:ascii="仿宋_GB2312" w:hAnsi="仿宋_GB2312" w:eastAsia="仿宋_GB2312" w:cs="仿宋_GB2312"/>
          <w:kern w:val="0"/>
          <w:sz w:val="30"/>
          <w:szCs w:val="24"/>
          <w:lang w:val="en-US" w:eastAsia="zh-CN" w:bidi="ar-SA"/>
        </w:rPr>
        <w:t>2.卫生健康支出（类）210行政事业单位医疗（类）11事业单位医疗（项）02：支出决算为12.43万元，完成预算100%。</w:t>
      </w:r>
    </w:p>
    <w:p>
      <w:pPr>
        <w:spacing w:line="576" w:lineRule="exact"/>
        <w:ind w:firstLine="640" w:firstLineChars="200"/>
        <w:rPr>
          <w:rStyle w:val="17"/>
          <w:rFonts w:hint="eastAsia" w:ascii="黑体" w:hAnsi="黑体" w:eastAsia="黑体" w:cs="黑体"/>
          <w:b w:val="0"/>
          <w:color w:val="000000"/>
          <w:sz w:val="32"/>
          <w:szCs w:val="32"/>
          <w:lang w:eastAsia="zh-CN"/>
        </w:rPr>
      </w:pPr>
      <w:r>
        <w:rPr>
          <w:rFonts w:hint="eastAsia" w:ascii="黑体" w:hAnsi="黑体" w:eastAsia="黑体" w:cs="黑体"/>
          <w:color w:val="000000"/>
          <w:sz w:val="32"/>
          <w:szCs w:val="32"/>
        </w:rPr>
        <w:t>城乡社区支出（类）212，支出决算为</w:t>
      </w:r>
      <w:r>
        <w:rPr>
          <w:rFonts w:hint="eastAsia" w:ascii="黑体" w:hAnsi="黑体" w:eastAsia="黑体" w:cs="黑体"/>
          <w:color w:val="000000"/>
          <w:sz w:val="32"/>
          <w:szCs w:val="32"/>
          <w:lang w:val="en-US" w:eastAsia="zh-CN"/>
        </w:rPr>
        <w:t>204</w:t>
      </w:r>
      <w:r>
        <w:rPr>
          <w:rFonts w:hint="eastAsia" w:ascii="黑体" w:hAnsi="黑体" w:eastAsia="黑体" w:cs="黑体"/>
          <w:color w:val="000000"/>
          <w:sz w:val="32"/>
          <w:szCs w:val="32"/>
        </w:rPr>
        <w:t>万元，完成预算</w:t>
      </w:r>
      <w:r>
        <w:rPr>
          <w:rStyle w:val="17"/>
          <w:rFonts w:hint="eastAsia" w:ascii="黑体" w:hAnsi="黑体" w:eastAsia="黑体" w:cs="黑体"/>
          <w:b w:val="0"/>
          <w:color w:val="000000"/>
          <w:sz w:val="32"/>
          <w:szCs w:val="32"/>
        </w:rPr>
        <w:t>100%</w:t>
      </w:r>
      <w:r>
        <w:rPr>
          <w:rStyle w:val="17"/>
          <w:rFonts w:hint="eastAsia" w:ascii="黑体" w:hAnsi="黑体" w:eastAsia="黑体" w:cs="黑体"/>
          <w:b w:val="0"/>
          <w:color w:val="000000"/>
          <w:sz w:val="32"/>
          <w:szCs w:val="32"/>
          <w:lang w:eastAsia="zh-CN"/>
        </w:rPr>
        <w:t>。</w:t>
      </w:r>
    </w:p>
    <w:p>
      <w:pPr>
        <w:spacing w:line="576" w:lineRule="exact"/>
        <w:ind w:firstLine="320" w:firstLineChars="100"/>
        <w:rPr>
          <w:rStyle w:val="17"/>
          <w:rFonts w:hint="eastAsia" w:ascii="仿宋_GB2312" w:hAnsi="仿宋_GB2312" w:eastAsia="仿宋_GB2312" w:cs="仿宋_GB2312"/>
          <w:b w:val="0"/>
          <w:color w:val="000000"/>
          <w:sz w:val="32"/>
          <w:szCs w:val="32"/>
          <w:lang w:eastAsia="zh-CN"/>
        </w:rPr>
      </w:pPr>
      <w:r>
        <w:rPr>
          <w:rStyle w:val="17"/>
          <w:rFonts w:hint="eastAsia" w:ascii="仿宋_GB2312" w:hAnsi="仿宋_GB2312" w:eastAsia="仿宋_GB2312" w:cs="仿宋_GB2312"/>
          <w:b w:val="0"/>
          <w:color w:val="000000"/>
          <w:sz w:val="32"/>
          <w:szCs w:val="32"/>
          <w:lang w:val="en-US" w:eastAsia="zh-CN"/>
        </w:rPr>
        <w:t>1.</w:t>
      </w:r>
      <w:r>
        <w:rPr>
          <w:rFonts w:hint="eastAsia" w:ascii="仿宋_GB2312" w:hAnsi="仿宋_GB2312" w:eastAsia="仿宋_GB2312" w:cs="仿宋_GB2312"/>
          <w:color w:val="000000"/>
          <w:sz w:val="32"/>
          <w:szCs w:val="32"/>
        </w:rPr>
        <w:t>城乡社区支出（类）212城乡社区管理事务（款）01城管执法（项）04</w:t>
      </w:r>
      <w:r>
        <w:rPr>
          <w:rStyle w:val="17"/>
          <w:rFonts w:hint="eastAsia" w:ascii="仿宋_GB2312" w:hAnsi="仿宋_GB2312" w:eastAsia="仿宋_GB2312" w:cs="仿宋_GB2312"/>
          <w:b w:val="0"/>
          <w:color w:val="000000"/>
          <w:sz w:val="32"/>
          <w:szCs w:val="32"/>
        </w:rPr>
        <w:t>：支出决算为1万元</w:t>
      </w:r>
      <w:r>
        <w:rPr>
          <w:rStyle w:val="17"/>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spacing w:line="576" w:lineRule="exact"/>
        <w:ind w:firstLine="320" w:firstLineChars="100"/>
        <w:rPr>
          <w:rStyle w:val="17"/>
          <w:rFonts w:hint="eastAsia" w:ascii="仿宋_GB2312" w:hAnsi="仿宋_GB2312" w:eastAsia="仿宋_GB2312" w:cs="仿宋_GB2312"/>
          <w:b w:val="0"/>
          <w:color w:val="000000"/>
          <w:sz w:val="32"/>
          <w:szCs w:val="32"/>
          <w:lang w:eastAsia="zh-CN"/>
        </w:rPr>
      </w:pPr>
      <w:r>
        <w:rPr>
          <w:rStyle w:val="17"/>
          <w:rFonts w:hint="eastAsia" w:ascii="仿宋_GB2312" w:hAnsi="仿宋_GB2312" w:eastAsia="仿宋_GB2312" w:cs="仿宋_GB2312"/>
          <w:b w:val="0"/>
          <w:color w:val="000000"/>
          <w:sz w:val="32"/>
          <w:szCs w:val="32"/>
          <w:lang w:val="en-US" w:eastAsia="zh-CN"/>
        </w:rPr>
        <w:t>2.</w:t>
      </w:r>
      <w:r>
        <w:rPr>
          <w:rFonts w:hint="eastAsia" w:ascii="仿宋_GB2312" w:hAnsi="仿宋_GB2312" w:eastAsia="仿宋_GB2312" w:cs="仿宋_GB2312"/>
          <w:color w:val="000000"/>
          <w:sz w:val="32"/>
          <w:szCs w:val="32"/>
        </w:rPr>
        <w:t>城乡社区支出（类）212</w:t>
      </w:r>
      <w:r>
        <w:rPr>
          <w:rStyle w:val="17"/>
          <w:rFonts w:hint="eastAsia" w:ascii="仿宋_GB2312" w:hAnsi="仿宋_GB2312" w:eastAsia="仿宋_GB2312" w:cs="仿宋_GB2312"/>
          <w:b w:val="0"/>
          <w:color w:val="000000"/>
          <w:sz w:val="32"/>
          <w:szCs w:val="32"/>
        </w:rPr>
        <w:t>城乡社区公共设施（款）03</w:t>
      </w:r>
      <w:r>
        <w:rPr>
          <w:rStyle w:val="17"/>
          <w:rFonts w:hint="eastAsia" w:ascii="仿宋_GB2312" w:hAnsi="仿宋_GB2312" w:eastAsia="仿宋_GB2312" w:cs="仿宋_GB2312"/>
          <w:b w:val="0"/>
          <w:color w:val="000000"/>
          <w:sz w:val="32"/>
          <w:szCs w:val="32"/>
          <w:lang w:val="en-US" w:eastAsia="zh-CN"/>
        </w:rPr>
        <w:t>小城镇基础</w:t>
      </w:r>
      <w:r>
        <w:rPr>
          <w:rStyle w:val="17"/>
          <w:rFonts w:hint="eastAsia" w:ascii="仿宋_GB2312" w:hAnsi="仿宋_GB2312" w:eastAsia="仿宋_GB2312" w:cs="仿宋_GB2312"/>
          <w:b w:val="0"/>
          <w:color w:val="000000"/>
          <w:sz w:val="32"/>
          <w:szCs w:val="32"/>
        </w:rPr>
        <w:t>设施</w:t>
      </w:r>
      <w:r>
        <w:rPr>
          <w:rStyle w:val="17"/>
          <w:rFonts w:hint="eastAsia" w:ascii="仿宋_GB2312" w:hAnsi="仿宋_GB2312" w:eastAsia="仿宋_GB2312" w:cs="仿宋_GB2312"/>
          <w:b w:val="0"/>
          <w:color w:val="000000"/>
          <w:sz w:val="32"/>
          <w:szCs w:val="32"/>
          <w:lang w:val="en-US" w:eastAsia="zh-CN"/>
        </w:rPr>
        <w:t>建设</w:t>
      </w:r>
      <w:r>
        <w:rPr>
          <w:rStyle w:val="17"/>
          <w:rFonts w:hint="eastAsia" w:ascii="仿宋_GB2312" w:hAnsi="仿宋_GB2312" w:eastAsia="仿宋_GB2312" w:cs="仿宋_GB2312"/>
          <w:b w:val="0"/>
          <w:color w:val="000000"/>
          <w:sz w:val="32"/>
          <w:szCs w:val="32"/>
        </w:rPr>
        <w:t>（项）</w:t>
      </w:r>
      <w:r>
        <w:rPr>
          <w:rStyle w:val="17"/>
          <w:rFonts w:hint="eastAsia" w:ascii="仿宋_GB2312" w:hAnsi="仿宋_GB2312" w:eastAsia="仿宋_GB2312" w:cs="仿宋_GB2312"/>
          <w:b w:val="0"/>
          <w:color w:val="000000"/>
          <w:sz w:val="32"/>
          <w:szCs w:val="32"/>
          <w:lang w:val="en-US" w:eastAsia="zh-CN"/>
        </w:rPr>
        <w:t>03</w:t>
      </w:r>
      <w:r>
        <w:rPr>
          <w:rStyle w:val="17"/>
          <w:rFonts w:hint="eastAsia" w:ascii="仿宋_GB2312" w:hAnsi="仿宋_GB2312" w:eastAsia="仿宋_GB2312" w:cs="仿宋_GB2312"/>
          <w:b w:val="0"/>
          <w:color w:val="000000"/>
          <w:sz w:val="32"/>
          <w:szCs w:val="32"/>
        </w:rPr>
        <w:t>：支出决算为</w:t>
      </w:r>
      <w:r>
        <w:rPr>
          <w:rStyle w:val="17"/>
          <w:rFonts w:hint="eastAsia" w:ascii="仿宋_GB2312" w:hAnsi="仿宋_GB2312" w:eastAsia="仿宋_GB2312" w:cs="仿宋_GB2312"/>
          <w:b w:val="0"/>
          <w:color w:val="000000"/>
          <w:sz w:val="32"/>
          <w:szCs w:val="32"/>
          <w:lang w:val="en-US" w:eastAsia="zh-CN"/>
        </w:rPr>
        <w:t>200</w:t>
      </w:r>
      <w:r>
        <w:rPr>
          <w:rStyle w:val="17"/>
          <w:rFonts w:hint="eastAsia" w:ascii="仿宋_GB2312" w:hAnsi="仿宋_GB2312" w:eastAsia="仿宋_GB2312" w:cs="仿宋_GB2312"/>
          <w:b w:val="0"/>
          <w:color w:val="000000"/>
          <w:sz w:val="32"/>
          <w:szCs w:val="32"/>
        </w:rPr>
        <w:t>万元</w:t>
      </w:r>
      <w:r>
        <w:rPr>
          <w:rStyle w:val="17"/>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spacing w:line="576" w:lineRule="exact"/>
        <w:ind w:firstLine="320" w:firstLineChars="100"/>
        <w:rPr>
          <w:rStyle w:val="17"/>
          <w:rFonts w:hint="eastAsia" w:ascii="仿宋_GB2312" w:hAnsi="仿宋_GB2312" w:eastAsia="仿宋_GB2312" w:cs="仿宋_GB2312"/>
          <w:b w:val="0"/>
          <w:color w:val="000000"/>
          <w:sz w:val="32"/>
          <w:szCs w:val="32"/>
        </w:rPr>
      </w:pPr>
      <w:r>
        <w:rPr>
          <w:rStyle w:val="17"/>
          <w:rFonts w:hint="eastAsia" w:ascii="仿宋_GB2312" w:hAnsi="仿宋_GB2312" w:eastAsia="仿宋_GB2312" w:cs="仿宋_GB2312"/>
          <w:b w:val="0"/>
          <w:color w:val="000000"/>
          <w:sz w:val="32"/>
          <w:szCs w:val="32"/>
          <w:lang w:val="en-US" w:eastAsia="zh-CN"/>
        </w:rPr>
        <w:t>3.</w:t>
      </w:r>
      <w:r>
        <w:rPr>
          <w:rFonts w:hint="eastAsia" w:ascii="仿宋_GB2312" w:hAnsi="仿宋_GB2312" w:eastAsia="仿宋_GB2312" w:cs="仿宋_GB2312"/>
          <w:color w:val="000000"/>
          <w:sz w:val="32"/>
          <w:szCs w:val="32"/>
        </w:rPr>
        <w:t>城乡社区支出（类）212城乡社区环境卫生（款）05城乡社区环境卫生（项）01</w:t>
      </w:r>
      <w:r>
        <w:rPr>
          <w:rStyle w:val="17"/>
          <w:rFonts w:hint="eastAsia" w:ascii="仿宋_GB2312" w:hAnsi="仿宋_GB2312" w:eastAsia="仿宋_GB2312" w:cs="仿宋_GB2312"/>
          <w:b w:val="0"/>
          <w:color w:val="000000"/>
          <w:sz w:val="32"/>
          <w:szCs w:val="32"/>
        </w:rPr>
        <w:t>：支出决算为3万元</w:t>
      </w:r>
      <w:r>
        <w:rPr>
          <w:rStyle w:val="17"/>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spacing w:line="576" w:lineRule="exact"/>
        <w:ind w:firstLine="640" w:firstLineChars="200"/>
        <w:rPr>
          <w:rStyle w:val="17"/>
          <w:rFonts w:hint="eastAsia" w:ascii="黑体" w:hAnsi="黑体" w:eastAsia="黑体" w:cs="黑体"/>
          <w:b w:val="0"/>
          <w:color w:val="auto"/>
          <w:sz w:val="32"/>
          <w:szCs w:val="32"/>
          <w:lang w:eastAsia="zh-CN"/>
        </w:rPr>
      </w:pPr>
      <w:r>
        <w:rPr>
          <w:rFonts w:hint="eastAsia" w:ascii="黑体" w:hAnsi="黑体" w:eastAsia="黑体" w:cs="黑体"/>
          <w:color w:val="auto"/>
          <w:sz w:val="32"/>
          <w:szCs w:val="32"/>
        </w:rPr>
        <w:t>农林水支出（类）213，支出决算为</w:t>
      </w:r>
      <w:r>
        <w:rPr>
          <w:rFonts w:hint="eastAsia" w:ascii="黑体" w:hAnsi="黑体" w:eastAsia="黑体" w:cs="黑体"/>
          <w:color w:val="auto"/>
          <w:sz w:val="32"/>
          <w:szCs w:val="32"/>
          <w:lang w:val="en-US" w:eastAsia="zh-CN"/>
        </w:rPr>
        <w:t>330.49</w:t>
      </w:r>
      <w:r>
        <w:rPr>
          <w:rFonts w:hint="eastAsia" w:ascii="黑体" w:hAnsi="黑体" w:eastAsia="黑体" w:cs="黑体"/>
          <w:color w:val="auto"/>
          <w:sz w:val="32"/>
          <w:szCs w:val="32"/>
        </w:rPr>
        <w:t>万元，完成预算</w:t>
      </w:r>
      <w:r>
        <w:rPr>
          <w:rStyle w:val="17"/>
          <w:rFonts w:hint="eastAsia" w:ascii="黑体" w:hAnsi="黑体" w:eastAsia="黑体" w:cs="黑体"/>
          <w:b w:val="0"/>
          <w:color w:val="auto"/>
          <w:sz w:val="32"/>
          <w:szCs w:val="32"/>
        </w:rPr>
        <w:t>100%</w:t>
      </w:r>
      <w:r>
        <w:rPr>
          <w:rStyle w:val="17"/>
          <w:rFonts w:hint="eastAsia" w:ascii="黑体" w:hAnsi="黑体" w:eastAsia="黑体" w:cs="黑体"/>
          <w:b w:val="0"/>
          <w:color w:val="auto"/>
          <w:sz w:val="32"/>
          <w:szCs w:val="32"/>
          <w:lang w:eastAsia="zh-CN"/>
        </w:rPr>
        <w:t>。</w:t>
      </w:r>
    </w:p>
    <w:p>
      <w:pPr>
        <w:spacing w:line="576" w:lineRule="exact"/>
        <w:ind w:firstLine="320" w:firstLineChars="100"/>
        <w:rPr>
          <w:rStyle w:val="17"/>
          <w:rFonts w:hint="eastAsia" w:ascii="仿宋_GB2312" w:hAnsi="仿宋_GB2312" w:eastAsia="仿宋_GB2312" w:cs="仿宋_GB2312"/>
          <w:b w:val="0"/>
          <w:color w:val="000000"/>
          <w:sz w:val="32"/>
          <w:szCs w:val="32"/>
          <w:lang w:eastAsia="zh-CN"/>
        </w:rPr>
      </w:pPr>
      <w:r>
        <w:rPr>
          <w:rStyle w:val="17"/>
          <w:rFonts w:hint="eastAsia" w:ascii="仿宋_GB2312" w:hAnsi="仿宋_GB2312" w:eastAsia="仿宋_GB2312" w:cs="仿宋_GB2312"/>
          <w:b w:val="0"/>
          <w:color w:val="000000"/>
          <w:sz w:val="32"/>
          <w:szCs w:val="32"/>
          <w:lang w:val="en-US" w:eastAsia="zh-CN"/>
        </w:rPr>
        <w:t>1.</w:t>
      </w:r>
      <w:r>
        <w:rPr>
          <w:rFonts w:hint="eastAsia" w:ascii="仿宋_GB2312" w:hAnsi="仿宋_GB2312" w:eastAsia="仿宋_GB2312" w:cs="仿宋_GB2312"/>
          <w:color w:val="000000"/>
          <w:sz w:val="32"/>
          <w:szCs w:val="32"/>
        </w:rPr>
        <w:t>农林水支出（类）213水利（款）03防汛（项）14</w:t>
      </w:r>
      <w:r>
        <w:rPr>
          <w:rStyle w:val="17"/>
          <w:rFonts w:hint="eastAsia" w:ascii="仿宋_GB2312" w:hAnsi="仿宋_GB2312" w:eastAsia="仿宋_GB2312" w:cs="仿宋_GB2312"/>
          <w:b w:val="0"/>
          <w:color w:val="000000"/>
          <w:sz w:val="32"/>
          <w:szCs w:val="32"/>
        </w:rPr>
        <w:t>：支出决算为1万元</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spacing w:line="576" w:lineRule="exact"/>
        <w:ind w:firstLine="320" w:firstLineChars="100"/>
        <w:rPr>
          <w:rStyle w:val="17"/>
          <w:rFonts w:hint="eastAsia" w:ascii="仿宋_GB2312" w:hAnsi="仿宋_GB2312" w:eastAsia="仿宋_GB2312" w:cs="仿宋_GB2312"/>
          <w:b w:val="0"/>
          <w:color w:val="000000"/>
          <w:sz w:val="32"/>
          <w:szCs w:val="32"/>
          <w:lang w:eastAsia="zh-CN"/>
        </w:rPr>
      </w:pPr>
      <w:r>
        <w:rPr>
          <w:rStyle w:val="17"/>
          <w:rFonts w:hint="eastAsia" w:ascii="仿宋_GB2312" w:hAnsi="仿宋_GB2312" w:eastAsia="仿宋_GB2312" w:cs="仿宋_GB2312"/>
          <w:b w:val="0"/>
          <w:color w:val="000000"/>
          <w:sz w:val="32"/>
          <w:szCs w:val="32"/>
          <w:lang w:val="en-US" w:eastAsia="zh-CN"/>
        </w:rPr>
        <w:t>2.</w:t>
      </w:r>
      <w:r>
        <w:rPr>
          <w:rFonts w:hint="eastAsia" w:ascii="仿宋_GB2312" w:hAnsi="仿宋_GB2312" w:eastAsia="仿宋_GB2312" w:cs="仿宋_GB2312"/>
          <w:color w:val="000000"/>
          <w:sz w:val="32"/>
          <w:szCs w:val="32"/>
        </w:rPr>
        <w:t xml:space="preserve"> 农林水支出（类）</w:t>
      </w:r>
      <w:r>
        <w:rPr>
          <w:rFonts w:hint="eastAsia" w:ascii="仿宋_GB2312" w:hAnsi="仿宋_GB2312" w:eastAsia="仿宋_GB2312" w:cs="仿宋_GB2312"/>
          <w:color w:val="000000"/>
          <w:sz w:val="32"/>
          <w:szCs w:val="32"/>
          <w:lang w:val="en-US" w:eastAsia="zh-CN"/>
        </w:rPr>
        <w:t>213</w:t>
      </w:r>
      <w:r>
        <w:rPr>
          <w:rStyle w:val="17"/>
          <w:rFonts w:hint="eastAsia" w:ascii="仿宋_GB2312" w:hAnsi="仿宋_GB2312" w:eastAsia="仿宋_GB2312" w:cs="仿宋_GB2312"/>
          <w:b w:val="0"/>
          <w:color w:val="000000"/>
          <w:sz w:val="32"/>
          <w:szCs w:val="32"/>
        </w:rPr>
        <w:t>巩固脱贫衔接乡村振兴（款）0</w:t>
      </w:r>
      <w:r>
        <w:rPr>
          <w:rStyle w:val="17"/>
          <w:rFonts w:hint="eastAsia" w:ascii="仿宋_GB2312" w:hAnsi="仿宋_GB2312" w:eastAsia="仿宋_GB2312" w:cs="仿宋_GB2312"/>
          <w:b w:val="0"/>
          <w:color w:val="000000"/>
          <w:sz w:val="32"/>
          <w:szCs w:val="32"/>
          <w:lang w:val="en-US" w:eastAsia="zh-CN"/>
        </w:rPr>
        <w:t>5</w:t>
      </w:r>
      <w:r>
        <w:rPr>
          <w:rStyle w:val="17"/>
          <w:rFonts w:hint="eastAsia" w:ascii="仿宋_GB2312" w:hAnsi="仿宋_GB2312" w:eastAsia="仿宋_GB2312" w:cs="仿宋_GB2312"/>
          <w:b w:val="0"/>
          <w:color w:val="000000"/>
          <w:sz w:val="32"/>
          <w:szCs w:val="32"/>
        </w:rPr>
        <w:t>其他巩固脱贫衔接乡村振兴支出（项）</w:t>
      </w:r>
      <w:r>
        <w:rPr>
          <w:rStyle w:val="17"/>
          <w:rFonts w:hint="eastAsia" w:ascii="仿宋_GB2312" w:hAnsi="仿宋_GB2312" w:eastAsia="仿宋_GB2312" w:cs="仿宋_GB2312"/>
          <w:b w:val="0"/>
          <w:color w:val="000000"/>
          <w:sz w:val="32"/>
          <w:szCs w:val="32"/>
          <w:lang w:val="en-US" w:eastAsia="zh-CN"/>
        </w:rPr>
        <w:t>99</w:t>
      </w:r>
      <w:r>
        <w:rPr>
          <w:rStyle w:val="17"/>
          <w:rFonts w:hint="eastAsia" w:ascii="仿宋_GB2312" w:hAnsi="仿宋_GB2312" w:eastAsia="仿宋_GB2312" w:cs="仿宋_GB2312"/>
          <w:b w:val="0"/>
          <w:color w:val="000000"/>
          <w:sz w:val="32"/>
          <w:szCs w:val="32"/>
        </w:rPr>
        <w:t>：支出决算为</w:t>
      </w:r>
      <w:r>
        <w:rPr>
          <w:rStyle w:val="17"/>
          <w:rFonts w:hint="default" w:ascii="仿宋_GB2312" w:hAnsi="仿宋_GB2312" w:eastAsia="仿宋_GB2312" w:cs="仿宋_GB2312"/>
          <w:b w:val="0"/>
          <w:color w:val="000000"/>
          <w:sz w:val="32"/>
          <w:szCs w:val="32"/>
        </w:rPr>
        <w:t>5</w:t>
      </w:r>
      <w:r>
        <w:rPr>
          <w:rStyle w:val="17"/>
          <w:rFonts w:hint="eastAsia" w:ascii="仿宋_GB2312" w:hAnsi="仿宋_GB2312" w:eastAsia="仿宋_GB2312" w:cs="仿宋_GB2312"/>
          <w:b w:val="0"/>
          <w:color w:val="000000"/>
          <w:sz w:val="32"/>
          <w:szCs w:val="32"/>
        </w:rPr>
        <w:t>万元</w:t>
      </w:r>
      <w:r>
        <w:rPr>
          <w:rStyle w:val="17"/>
          <w:rFonts w:hint="eastAsia" w:ascii="仿宋_GB2312" w:hAnsi="仿宋_GB2312" w:eastAsia="仿宋_GB2312" w:cs="仿宋_GB2312"/>
          <w:b w:val="0"/>
          <w:color w:val="000000"/>
          <w:sz w:val="32"/>
          <w:szCs w:val="32"/>
          <w:lang w:val="en-US" w:eastAsia="zh-CN"/>
        </w:rPr>
        <w:t>，</w:t>
      </w:r>
      <w:r>
        <w:rPr>
          <w:rStyle w:val="17"/>
          <w:rFonts w:hint="eastAsia" w:ascii="仿宋_GB2312" w:hAnsi="仿宋_GB2312" w:eastAsia="仿宋_GB2312" w:cs="仿宋_GB2312"/>
          <w:b w:val="0"/>
          <w:color w:val="000000"/>
          <w:sz w:val="32"/>
          <w:szCs w:val="32"/>
        </w:rPr>
        <w:t>完成预算100%</w:t>
      </w:r>
      <w:r>
        <w:rPr>
          <w:rStyle w:val="17"/>
          <w:rFonts w:hint="eastAsia" w:ascii="仿宋_GB2312" w:hAnsi="仿宋_GB2312" w:eastAsia="仿宋_GB2312" w:cs="仿宋_GB2312"/>
          <w:b w:val="0"/>
          <w:color w:val="000000"/>
          <w:sz w:val="32"/>
          <w:szCs w:val="32"/>
          <w:lang w:eastAsia="zh-CN"/>
        </w:rPr>
        <w:t>。</w:t>
      </w:r>
    </w:p>
    <w:p>
      <w:pPr>
        <w:spacing w:line="576" w:lineRule="exact"/>
        <w:ind w:firstLine="320" w:firstLineChars="100"/>
        <w:rPr>
          <w:rStyle w:val="17"/>
          <w:rFonts w:hint="eastAsia" w:ascii="仿宋_GB2312" w:hAnsi="仿宋_GB2312" w:eastAsia="仿宋_GB2312" w:cs="仿宋_GB2312"/>
          <w:b w:val="0"/>
          <w:color w:val="000000"/>
          <w:sz w:val="32"/>
          <w:szCs w:val="32"/>
          <w:lang w:eastAsia="zh-CN"/>
        </w:rPr>
      </w:pPr>
      <w:r>
        <w:rPr>
          <w:rStyle w:val="17"/>
          <w:rFonts w:hint="eastAsia" w:ascii="仿宋_GB2312" w:hAnsi="仿宋_GB2312" w:eastAsia="仿宋_GB2312" w:cs="仿宋_GB2312"/>
          <w:b w:val="0"/>
          <w:color w:val="000000"/>
          <w:sz w:val="32"/>
          <w:szCs w:val="32"/>
          <w:lang w:val="en-US" w:eastAsia="zh-CN"/>
        </w:rPr>
        <w:t>3.</w:t>
      </w:r>
      <w:r>
        <w:rPr>
          <w:rFonts w:hint="eastAsia" w:ascii="仿宋_GB2312" w:hAnsi="仿宋_GB2312" w:eastAsia="仿宋_GB2312" w:cs="仿宋_GB2312"/>
          <w:color w:val="000000"/>
          <w:sz w:val="32"/>
          <w:szCs w:val="32"/>
        </w:rPr>
        <w:t>农林水支出（类）</w:t>
      </w:r>
      <w:r>
        <w:rPr>
          <w:rFonts w:hint="eastAsia" w:ascii="仿宋_GB2312" w:hAnsi="仿宋_GB2312" w:eastAsia="仿宋_GB2312" w:cs="仿宋_GB2312"/>
          <w:color w:val="000000"/>
          <w:sz w:val="32"/>
          <w:szCs w:val="32"/>
          <w:lang w:val="en-US" w:eastAsia="zh-CN"/>
        </w:rPr>
        <w:t>213</w:t>
      </w:r>
      <w:r>
        <w:rPr>
          <w:rFonts w:hint="eastAsia" w:ascii="仿宋_GB2312" w:hAnsi="仿宋_GB2312" w:eastAsia="仿宋_GB2312" w:cs="仿宋_GB2312"/>
          <w:color w:val="000000"/>
          <w:sz w:val="32"/>
          <w:szCs w:val="32"/>
        </w:rPr>
        <w:t>农村综合改革（款）07对村民委员会和村党支部的补助（项）05</w:t>
      </w:r>
      <w:r>
        <w:rPr>
          <w:rFonts w:hint="eastAsia" w:ascii="仿宋_GB2312" w:hAnsi="仿宋_GB2312" w:eastAsia="仿宋_GB2312" w:cs="仿宋_GB2312"/>
          <w:color w:val="000000"/>
          <w:sz w:val="32"/>
          <w:szCs w:val="32"/>
          <w:lang w:val="en-US" w:eastAsia="zh-CN"/>
        </w:rPr>
        <w:t>，</w:t>
      </w:r>
      <w:r>
        <w:rPr>
          <w:rStyle w:val="17"/>
          <w:rFonts w:hint="eastAsia" w:ascii="仿宋_GB2312" w:hAnsi="仿宋_GB2312" w:eastAsia="仿宋_GB2312" w:cs="仿宋_GB2312"/>
          <w:b w:val="0"/>
          <w:color w:val="000000"/>
          <w:sz w:val="32"/>
          <w:szCs w:val="32"/>
        </w:rPr>
        <w:t>支出决算为3</w:t>
      </w:r>
      <w:r>
        <w:rPr>
          <w:rStyle w:val="17"/>
          <w:rFonts w:hint="eastAsia" w:ascii="仿宋_GB2312" w:hAnsi="仿宋_GB2312" w:eastAsia="仿宋_GB2312" w:cs="仿宋_GB2312"/>
          <w:b w:val="0"/>
          <w:color w:val="000000"/>
          <w:sz w:val="32"/>
          <w:szCs w:val="32"/>
          <w:lang w:val="en-US" w:eastAsia="zh-CN"/>
        </w:rPr>
        <w:t>24.49</w:t>
      </w:r>
      <w:r>
        <w:rPr>
          <w:rStyle w:val="17"/>
          <w:rFonts w:hint="eastAsia" w:ascii="仿宋_GB2312" w:hAnsi="仿宋_GB2312" w:eastAsia="仿宋_GB2312" w:cs="仿宋_GB2312"/>
          <w:b w:val="0"/>
          <w:color w:val="000000"/>
          <w:sz w:val="32"/>
          <w:szCs w:val="32"/>
        </w:rPr>
        <w:t>万元</w:t>
      </w:r>
      <w:r>
        <w:rPr>
          <w:rStyle w:val="17"/>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spacing w:line="576" w:lineRule="exact"/>
        <w:ind w:firstLine="640" w:firstLineChars="200"/>
        <w:rPr>
          <w:rStyle w:val="17"/>
          <w:rFonts w:hint="eastAsia" w:ascii="黑体" w:hAnsi="黑体" w:eastAsia="黑体" w:cs="黑体"/>
          <w:b w:val="0"/>
          <w:color w:val="000000"/>
          <w:sz w:val="32"/>
          <w:szCs w:val="32"/>
          <w:lang w:eastAsia="zh-CN"/>
        </w:rPr>
      </w:pPr>
      <w:r>
        <w:rPr>
          <w:rFonts w:hint="eastAsia" w:ascii="黑体" w:hAnsi="黑体" w:eastAsia="黑体" w:cs="黑体"/>
          <w:color w:val="000000"/>
          <w:sz w:val="32"/>
          <w:szCs w:val="32"/>
        </w:rPr>
        <w:t>交通运输支出（类）214，支出决算为1万元，完成预算</w:t>
      </w:r>
      <w:r>
        <w:rPr>
          <w:rStyle w:val="17"/>
          <w:rFonts w:hint="eastAsia" w:ascii="黑体" w:hAnsi="黑体" w:eastAsia="黑体" w:cs="黑体"/>
          <w:b w:val="0"/>
          <w:color w:val="000000"/>
          <w:sz w:val="32"/>
          <w:szCs w:val="32"/>
        </w:rPr>
        <w:t>100%</w:t>
      </w:r>
      <w:r>
        <w:rPr>
          <w:rStyle w:val="17"/>
          <w:rFonts w:hint="eastAsia" w:ascii="黑体" w:hAnsi="黑体" w:eastAsia="黑体" w:cs="黑体"/>
          <w:b w:val="0"/>
          <w:color w:val="000000"/>
          <w:sz w:val="32"/>
          <w:szCs w:val="32"/>
          <w:lang w:eastAsia="zh-CN"/>
        </w:rPr>
        <w:t>。</w:t>
      </w:r>
    </w:p>
    <w:p>
      <w:pPr>
        <w:spacing w:line="576" w:lineRule="exact"/>
        <w:ind w:firstLine="320" w:firstLineChars="100"/>
        <w:rPr>
          <w:rStyle w:val="17"/>
          <w:rFonts w:hint="eastAsia" w:ascii="仿宋_GB2312" w:eastAsia="仿宋_GB2312"/>
          <w:b w:val="0"/>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交通运输支出（类）214公路水路运输（款）01公路和运输安全（项）10</w:t>
      </w:r>
      <w:r>
        <w:rPr>
          <w:rStyle w:val="17"/>
          <w:rFonts w:hint="eastAsia" w:ascii="仿宋_GB2312" w:hAnsi="仿宋_GB2312" w:eastAsia="仿宋_GB2312" w:cs="仿宋_GB2312"/>
          <w:b w:val="0"/>
          <w:color w:val="000000"/>
          <w:sz w:val="32"/>
          <w:szCs w:val="32"/>
        </w:rPr>
        <w:t>：支出决算为1万元</w:t>
      </w:r>
      <w:r>
        <w:rPr>
          <w:rStyle w:val="17"/>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spacing w:line="576" w:lineRule="exact"/>
        <w:ind w:firstLine="640" w:firstLineChars="200"/>
        <w:rPr>
          <w:rStyle w:val="17"/>
          <w:rFonts w:hint="eastAsia" w:ascii="黑体" w:hAnsi="黑体" w:eastAsia="黑体" w:cs="黑体"/>
          <w:b w:val="0"/>
          <w:color w:val="000000"/>
          <w:sz w:val="32"/>
          <w:szCs w:val="32"/>
        </w:rPr>
      </w:pPr>
      <w:r>
        <w:rPr>
          <w:rFonts w:hint="eastAsia" w:ascii="黑体" w:hAnsi="黑体" w:eastAsia="黑体" w:cs="黑体"/>
          <w:color w:val="000000"/>
          <w:sz w:val="32"/>
          <w:szCs w:val="32"/>
        </w:rPr>
        <w:t>住房保障支出（类）221，支出决算为</w:t>
      </w:r>
      <w:r>
        <w:rPr>
          <w:rFonts w:hint="eastAsia" w:ascii="黑体" w:hAnsi="黑体" w:eastAsia="黑体" w:cs="黑体"/>
          <w:color w:val="000000"/>
          <w:sz w:val="32"/>
          <w:szCs w:val="32"/>
          <w:lang w:val="en-US" w:eastAsia="zh-CN"/>
        </w:rPr>
        <w:t>24.53</w:t>
      </w:r>
      <w:r>
        <w:rPr>
          <w:rFonts w:hint="eastAsia" w:ascii="黑体" w:hAnsi="黑体" w:eastAsia="黑体" w:cs="黑体"/>
          <w:color w:val="000000"/>
          <w:sz w:val="32"/>
          <w:szCs w:val="32"/>
        </w:rPr>
        <w:t>万元，完成预算</w:t>
      </w:r>
      <w:r>
        <w:rPr>
          <w:rStyle w:val="17"/>
          <w:rFonts w:hint="eastAsia" w:ascii="黑体" w:hAnsi="黑体" w:eastAsia="黑体" w:cs="黑体"/>
          <w:b w:val="0"/>
          <w:color w:val="000000"/>
          <w:sz w:val="32"/>
          <w:szCs w:val="32"/>
        </w:rPr>
        <w:t>100%，</w:t>
      </w:r>
    </w:p>
    <w:p>
      <w:pPr>
        <w:spacing w:line="576" w:lineRule="exact"/>
        <w:ind w:firstLine="320" w:firstLineChars="100"/>
        <w:rPr>
          <w:rStyle w:val="17"/>
          <w:rFonts w:hint="eastAsia" w:ascii="仿宋_GB2312" w:hAnsi="仿宋_GB2312" w:eastAsia="仿宋_GB2312" w:cs="仿宋_GB2312"/>
          <w:b w:val="0"/>
          <w:color w:val="000000"/>
          <w:sz w:val="32"/>
          <w:szCs w:val="32"/>
        </w:rPr>
      </w:pPr>
      <w:r>
        <w:rPr>
          <w:rStyle w:val="17"/>
          <w:rFonts w:hint="eastAsia" w:ascii="仿宋_GB2312" w:hAnsi="仿宋_GB2312" w:eastAsia="仿宋_GB2312" w:cs="仿宋_GB2312"/>
          <w:b w:val="0"/>
          <w:color w:val="000000"/>
          <w:sz w:val="32"/>
          <w:szCs w:val="32"/>
          <w:lang w:val="en-US" w:eastAsia="zh-CN"/>
        </w:rPr>
        <w:t>1.</w:t>
      </w:r>
      <w:r>
        <w:rPr>
          <w:rFonts w:hint="eastAsia" w:ascii="仿宋_GB2312" w:hAnsi="仿宋_GB2312" w:eastAsia="仿宋_GB2312" w:cs="仿宋_GB2312"/>
          <w:color w:val="000000"/>
          <w:sz w:val="32"/>
          <w:szCs w:val="32"/>
        </w:rPr>
        <w:t>住房保障支出（类）221住房改革支出（款）02住房公积金（项）01</w:t>
      </w:r>
      <w:r>
        <w:rPr>
          <w:rStyle w:val="17"/>
          <w:rFonts w:hint="eastAsia" w:ascii="仿宋_GB2312" w:hAnsi="仿宋_GB2312" w:eastAsia="仿宋_GB2312" w:cs="仿宋_GB2312"/>
          <w:b w:val="0"/>
          <w:color w:val="000000"/>
          <w:sz w:val="32"/>
          <w:szCs w:val="32"/>
        </w:rPr>
        <w:t>：支出决算为</w:t>
      </w:r>
      <w:r>
        <w:rPr>
          <w:rStyle w:val="17"/>
          <w:rFonts w:hint="eastAsia" w:ascii="仿宋_GB2312" w:hAnsi="仿宋_GB2312" w:eastAsia="仿宋_GB2312" w:cs="仿宋_GB2312"/>
          <w:b w:val="0"/>
          <w:color w:val="000000"/>
          <w:sz w:val="32"/>
          <w:szCs w:val="32"/>
          <w:lang w:val="en-US" w:eastAsia="zh-CN"/>
        </w:rPr>
        <w:t>24.53</w:t>
      </w:r>
      <w:r>
        <w:rPr>
          <w:rStyle w:val="17"/>
          <w:rFonts w:hint="eastAsia" w:ascii="仿宋_GB2312" w:hAnsi="仿宋_GB2312" w:eastAsia="仿宋_GB2312" w:cs="仿宋_GB2312"/>
          <w:b w:val="0"/>
          <w:color w:val="000000"/>
          <w:sz w:val="32"/>
          <w:szCs w:val="32"/>
        </w:rPr>
        <w:t>万元</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p>
    <w:p>
      <w:pPr>
        <w:spacing w:line="576" w:lineRule="exact"/>
        <w:ind w:firstLine="640" w:firstLineChars="200"/>
        <w:rPr>
          <w:rStyle w:val="17"/>
          <w:rFonts w:hint="eastAsia" w:ascii="黑体" w:hAnsi="黑体" w:eastAsia="黑体" w:cs="黑体"/>
          <w:b w:val="0"/>
          <w:color w:val="000000"/>
          <w:sz w:val="32"/>
          <w:szCs w:val="32"/>
          <w:lang w:eastAsia="zh-CN"/>
        </w:rPr>
      </w:pPr>
      <w:r>
        <w:rPr>
          <w:rFonts w:hint="eastAsia" w:ascii="黑体" w:hAnsi="黑体" w:eastAsia="黑体" w:cs="黑体"/>
          <w:color w:val="000000"/>
          <w:sz w:val="32"/>
          <w:szCs w:val="32"/>
          <w:lang w:val="en-US" w:eastAsia="zh-CN"/>
        </w:rPr>
        <w:t>灾害</w:t>
      </w:r>
      <w:r>
        <w:rPr>
          <w:rFonts w:hint="eastAsia" w:ascii="黑体" w:hAnsi="黑体" w:eastAsia="黑体" w:cs="黑体"/>
          <w:color w:val="000000"/>
          <w:sz w:val="32"/>
          <w:szCs w:val="32"/>
        </w:rPr>
        <w:t>防治及应急管理支出（类）224，支出决算为</w:t>
      </w:r>
      <w:r>
        <w:rPr>
          <w:rFonts w:hint="eastAsia" w:ascii="黑体" w:hAnsi="黑体" w:eastAsia="黑体" w:cs="黑体"/>
          <w:color w:val="000000"/>
          <w:sz w:val="32"/>
          <w:szCs w:val="32"/>
          <w:lang w:val="en-US" w:eastAsia="zh-CN"/>
        </w:rPr>
        <w:t>20</w:t>
      </w:r>
      <w:r>
        <w:rPr>
          <w:rFonts w:hint="eastAsia" w:ascii="黑体" w:hAnsi="黑体" w:eastAsia="黑体" w:cs="黑体"/>
          <w:color w:val="000000"/>
          <w:sz w:val="32"/>
          <w:szCs w:val="32"/>
        </w:rPr>
        <w:t>万元，完成预算</w:t>
      </w:r>
      <w:r>
        <w:rPr>
          <w:rStyle w:val="17"/>
          <w:rFonts w:hint="eastAsia" w:ascii="黑体" w:hAnsi="黑体" w:eastAsia="黑体" w:cs="黑体"/>
          <w:b w:val="0"/>
          <w:color w:val="000000"/>
          <w:sz w:val="32"/>
          <w:szCs w:val="32"/>
        </w:rPr>
        <w:t>100%</w:t>
      </w:r>
      <w:r>
        <w:rPr>
          <w:rStyle w:val="17"/>
          <w:rFonts w:hint="eastAsia" w:ascii="黑体" w:hAnsi="黑体" w:eastAsia="黑体" w:cs="黑体"/>
          <w:b w:val="0"/>
          <w:color w:val="000000"/>
          <w:sz w:val="32"/>
          <w:szCs w:val="32"/>
          <w:lang w:eastAsia="zh-CN"/>
        </w:rPr>
        <w:t>。</w:t>
      </w:r>
    </w:p>
    <w:p>
      <w:pPr>
        <w:spacing w:line="576" w:lineRule="exact"/>
        <w:ind w:firstLine="320" w:firstLineChars="100"/>
        <w:rPr>
          <w:rStyle w:val="17"/>
          <w:rFonts w:hint="eastAsia" w:ascii="仿宋_GB2312" w:hAnsi="仿宋_GB2312" w:eastAsia="仿宋_GB2312" w:cs="仿宋_GB2312"/>
          <w:b w:val="0"/>
          <w:color w:val="000000"/>
          <w:sz w:val="32"/>
          <w:szCs w:val="32"/>
          <w:lang w:eastAsia="zh-CN"/>
        </w:rPr>
      </w:pPr>
      <w:r>
        <w:rPr>
          <w:rFonts w:hint="eastAsia" w:ascii="仿宋_GB2312" w:hAnsi="仿宋_GB2312" w:eastAsia="仿宋_GB2312" w:cs="仿宋_GB2312"/>
          <w:color w:val="000000"/>
          <w:sz w:val="32"/>
          <w:szCs w:val="32"/>
          <w:lang w:val="en-US" w:eastAsia="zh-CN"/>
        </w:rPr>
        <w:t>1.灾害</w:t>
      </w:r>
      <w:r>
        <w:rPr>
          <w:rFonts w:hint="eastAsia" w:ascii="仿宋_GB2312" w:hAnsi="仿宋_GB2312" w:eastAsia="仿宋_GB2312" w:cs="仿宋_GB2312"/>
          <w:color w:val="000000"/>
          <w:sz w:val="32"/>
          <w:szCs w:val="32"/>
        </w:rPr>
        <w:t>防治及应急管理支出（类）224应急管理事务（款）01安全监管（项）06</w:t>
      </w:r>
      <w:r>
        <w:rPr>
          <w:rStyle w:val="17"/>
          <w:rFonts w:hint="eastAsia" w:ascii="仿宋_GB2312" w:hAnsi="仿宋_GB2312" w:eastAsia="仿宋_GB2312" w:cs="仿宋_GB2312"/>
          <w:b w:val="0"/>
          <w:color w:val="000000"/>
          <w:sz w:val="32"/>
          <w:szCs w:val="32"/>
        </w:rPr>
        <w:t>：支出决算为</w:t>
      </w:r>
      <w:r>
        <w:rPr>
          <w:rStyle w:val="17"/>
          <w:rFonts w:hint="eastAsia" w:ascii="仿宋_GB2312" w:hAnsi="仿宋_GB2312" w:eastAsia="仿宋_GB2312" w:cs="仿宋_GB2312"/>
          <w:b w:val="0"/>
          <w:color w:val="000000"/>
          <w:sz w:val="32"/>
          <w:szCs w:val="32"/>
          <w:lang w:val="en-US" w:eastAsia="zh-CN"/>
        </w:rPr>
        <w:t>1</w:t>
      </w:r>
      <w:r>
        <w:rPr>
          <w:rStyle w:val="17"/>
          <w:rFonts w:hint="eastAsia" w:ascii="仿宋_GB2312" w:hAnsi="仿宋_GB2312" w:eastAsia="仿宋_GB2312" w:cs="仿宋_GB2312"/>
          <w:b w:val="0"/>
          <w:color w:val="000000"/>
          <w:sz w:val="32"/>
          <w:szCs w:val="32"/>
        </w:rPr>
        <w:t>万元</w:t>
      </w:r>
      <w:r>
        <w:rPr>
          <w:rStyle w:val="17"/>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spacing w:line="576" w:lineRule="exact"/>
        <w:ind w:firstLine="320" w:firstLineChars="100"/>
        <w:rPr>
          <w:rStyle w:val="17"/>
          <w:rFonts w:hint="eastAsia" w:ascii="仿宋_GB2312" w:hAnsi="仿宋_GB2312" w:eastAsia="仿宋_GB2312" w:cs="仿宋_GB2312"/>
          <w:b w:val="0"/>
          <w:color w:val="000000"/>
          <w:sz w:val="32"/>
          <w:szCs w:val="32"/>
          <w:lang w:eastAsia="zh-CN"/>
        </w:rPr>
      </w:pPr>
      <w:r>
        <w:rPr>
          <w:rStyle w:val="17"/>
          <w:rFonts w:hint="eastAsia" w:ascii="仿宋_GB2312" w:hAnsi="仿宋_GB2312" w:eastAsia="仿宋_GB2312" w:cs="仿宋_GB2312"/>
          <w:b w:val="0"/>
          <w:color w:val="000000"/>
          <w:sz w:val="32"/>
          <w:szCs w:val="32"/>
          <w:lang w:val="en-US" w:eastAsia="zh-CN"/>
        </w:rPr>
        <w:t>2.</w:t>
      </w:r>
      <w:r>
        <w:rPr>
          <w:rFonts w:hint="eastAsia" w:ascii="仿宋_GB2312" w:hAnsi="仿宋_GB2312" w:eastAsia="仿宋_GB2312" w:cs="仿宋_GB2312"/>
          <w:color w:val="000000"/>
          <w:sz w:val="32"/>
          <w:szCs w:val="32"/>
          <w:lang w:val="en-US" w:eastAsia="zh-CN"/>
        </w:rPr>
        <w:t>灾害</w:t>
      </w:r>
      <w:r>
        <w:rPr>
          <w:rFonts w:hint="eastAsia" w:ascii="仿宋_GB2312" w:hAnsi="仿宋_GB2312" w:eastAsia="仿宋_GB2312" w:cs="仿宋_GB2312"/>
          <w:color w:val="000000"/>
          <w:sz w:val="32"/>
          <w:szCs w:val="32"/>
        </w:rPr>
        <w:t>防治及应急管理支出（类）224应急管理事务（款）01应急救援（项）08</w:t>
      </w:r>
      <w:r>
        <w:rPr>
          <w:rStyle w:val="17"/>
          <w:rFonts w:hint="eastAsia" w:ascii="仿宋_GB2312" w:hAnsi="仿宋_GB2312" w:eastAsia="仿宋_GB2312" w:cs="仿宋_GB2312"/>
          <w:b w:val="0"/>
          <w:color w:val="000000"/>
          <w:sz w:val="32"/>
          <w:szCs w:val="32"/>
        </w:rPr>
        <w:t>：支出决算为</w:t>
      </w:r>
      <w:r>
        <w:rPr>
          <w:rStyle w:val="17"/>
          <w:rFonts w:hint="eastAsia" w:ascii="仿宋_GB2312" w:hAnsi="仿宋_GB2312" w:eastAsia="仿宋_GB2312" w:cs="仿宋_GB2312"/>
          <w:b w:val="0"/>
          <w:color w:val="000000"/>
          <w:sz w:val="32"/>
          <w:szCs w:val="32"/>
          <w:lang w:val="en-US" w:eastAsia="zh-CN"/>
        </w:rPr>
        <w:t>3</w:t>
      </w:r>
      <w:r>
        <w:rPr>
          <w:rStyle w:val="17"/>
          <w:rFonts w:hint="eastAsia" w:ascii="仿宋_GB2312" w:hAnsi="仿宋_GB2312" w:eastAsia="仿宋_GB2312" w:cs="仿宋_GB2312"/>
          <w:b w:val="0"/>
          <w:color w:val="000000"/>
          <w:sz w:val="32"/>
          <w:szCs w:val="32"/>
        </w:rPr>
        <w:t>万元</w:t>
      </w:r>
      <w:r>
        <w:rPr>
          <w:rStyle w:val="17"/>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spacing w:line="576" w:lineRule="exact"/>
        <w:ind w:firstLine="320" w:firstLineChars="100"/>
        <w:rPr>
          <w:rStyle w:val="17"/>
          <w:rFonts w:hint="eastAsia" w:ascii="仿宋_GB2312" w:hAnsi="仿宋_GB2312" w:eastAsia="仿宋_GB2312" w:cs="仿宋_GB2312"/>
          <w:b w:val="0"/>
          <w:color w:val="000000"/>
          <w:sz w:val="32"/>
          <w:szCs w:val="32"/>
          <w:lang w:eastAsia="zh-CN"/>
        </w:rPr>
      </w:pPr>
      <w:r>
        <w:rPr>
          <w:rStyle w:val="17"/>
          <w:rFonts w:hint="eastAsia" w:ascii="仿宋_GB2312" w:hAnsi="仿宋_GB2312" w:eastAsia="仿宋_GB2312" w:cs="仿宋_GB2312"/>
          <w:b w:val="0"/>
          <w:color w:val="000000"/>
          <w:sz w:val="32"/>
          <w:szCs w:val="32"/>
          <w:lang w:val="en-US" w:eastAsia="zh-CN"/>
        </w:rPr>
        <w:t>3.</w:t>
      </w:r>
      <w:r>
        <w:rPr>
          <w:rFonts w:hint="eastAsia" w:ascii="仿宋_GB2312" w:hAnsi="仿宋_GB2312" w:eastAsia="仿宋_GB2312" w:cs="仿宋_GB2312"/>
          <w:color w:val="000000"/>
          <w:sz w:val="32"/>
          <w:szCs w:val="32"/>
          <w:lang w:val="en-US" w:eastAsia="zh-CN"/>
        </w:rPr>
        <w:t>灾害</w:t>
      </w:r>
      <w:r>
        <w:rPr>
          <w:rFonts w:hint="eastAsia" w:ascii="仿宋_GB2312" w:hAnsi="仿宋_GB2312" w:eastAsia="仿宋_GB2312" w:cs="仿宋_GB2312"/>
          <w:color w:val="000000"/>
          <w:sz w:val="32"/>
          <w:szCs w:val="32"/>
        </w:rPr>
        <w:t>防治及应急管理支出（类）224应急管理事务（款）01应急救援（项）</w:t>
      </w:r>
      <w:r>
        <w:rPr>
          <w:rFonts w:hint="default" w:ascii="仿宋_GB2312" w:hAnsi="仿宋_GB2312" w:eastAsia="仿宋_GB2312" w:cs="仿宋_GB2312"/>
          <w:color w:val="000000"/>
          <w:sz w:val="32"/>
          <w:szCs w:val="32"/>
        </w:rPr>
        <w:t>99</w:t>
      </w:r>
      <w:r>
        <w:rPr>
          <w:rStyle w:val="17"/>
          <w:rFonts w:hint="eastAsia" w:ascii="仿宋_GB2312" w:hAnsi="仿宋_GB2312" w:eastAsia="仿宋_GB2312" w:cs="仿宋_GB2312"/>
          <w:b w:val="0"/>
          <w:color w:val="000000"/>
          <w:sz w:val="32"/>
          <w:szCs w:val="32"/>
        </w:rPr>
        <w:t>：支出决算为</w:t>
      </w:r>
      <w:r>
        <w:rPr>
          <w:rStyle w:val="17"/>
          <w:rFonts w:hint="default" w:ascii="仿宋_GB2312" w:hAnsi="仿宋_GB2312" w:eastAsia="仿宋_GB2312" w:cs="仿宋_GB2312"/>
          <w:b w:val="0"/>
          <w:color w:val="000000"/>
          <w:sz w:val="32"/>
          <w:szCs w:val="32"/>
        </w:rPr>
        <w:t>5</w:t>
      </w:r>
      <w:r>
        <w:rPr>
          <w:rStyle w:val="17"/>
          <w:rFonts w:hint="eastAsia" w:ascii="仿宋_GB2312" w:hAnsi="仿宋_GB2312" w:eastAsia="仿宋_GB2312" w:cs="仿宋_GB2312"/>
          <w:b w:val="0"/>
          <w:color w:val="000000"/>
          <w:sz w:val="32"/>
          <w:szCs w:val="32"/>
        </w:rPr>
        <w:t>万元</w:t>
      </w:r>
      <w:r>
        <w:rPr>
          <w:rStyle w:val="17"/>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spacing w:line="576" w:lineRule="exact"/>
        <w:ind w:firstLine="320" w:firstLineChars="100"/>
        <w:rPr>
          <w:rStyle w:val="17"/>
          <w:rFonts w:hint="eastAsia" w:ascii="仿宋_GB2312" w:hAnsi="仿宋_GB2312" w:eastAsia="仿宋_GB2312" w:cs="仿宋_GB2312"/>
          <w:b w:val="0"/>
          <w:color w:val="000000"/>
          <w:sz w:val="32"/>
          <w:szCs w:val="32"/>
          <w:lang w:eastAsia="zh-CN"/>
        </w:rPr>
      </w:pPr>
      <w:r>
        <w:rPr>
          <w:rFonts w:hint="default"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灾害</w:t>
      </w:r>
      <w:r>
        <w:rPr>
          <w:rFonts w:hint="eastAsia" w:ascii="仿宋_GB2312" w:hAnsi="仿宋_GB2312" w:eastAsia="仿宋_GB2312" w:cs="仿宋_GB2312"/>
          <w:color w:val="000000"/>
          <w:sz w:val="32"/>
          <w:szCs w:val="32"/>
        </w:rPr>
        <w:t>防治及应急管理支出（类）224消防救援事务（款）0</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 xml:space="preserve"> 其他消防救援事务支出（项）</w:t>
      </w:r>
      <w:r>
        <w:rPr>
          <w:rFonts w:hint="eastAsia" w:ascii="仿宋_GB2312" w:hAnsi="仿宋_GB2312" w:eastAsia="仿宋_GB2312" w:cs="仿宋_GB2312"/>
          <w:color w:val="000000"/>
          <w:sz w:val="32"/>
          <w:szCs w:val="32"/>
          <w:lang w:val="en-US" w:eastAsia="zh-CN"/>
        </w:rPr>
        <w:t>99</w:t>
      </w:r>
      <w:r>
        <w:rPr>
          <w:rStyle w:val="17"/>
          <w:rFonts w:hint="eastAsia" w:ascii="仿宋_GB2312" w:hAnsi="仿宋_GB2312" w:eastAsia="仿宋_GB2312" w:cs="仿宋_GB2312"/>
          <w:b w:val="0"/>
          <w:color w:val="000000"/>
          <w:sz w:val="32"/>
          <w:szCs w:val="32"/>
        </w:rPr>
        <w:t>：支出决算为</w:t>
      </w:r>
      <w:r>
        <w:rPr>
          <w:rStyle w:val="17"/>
          <w:rFonts w:hint="eastAsia" w:ascii="仿宋_GB2312" w:hAnsi="仿宋_GB2312" w:eastAsia="仿宋_GB2312" w:cs="仿宋_GB2312"/>
          <w:b w:val="0"/>
          <w:color w:val="000000"/>
          <w:sz w:val="32"/>
          <w:szCs w:val="32"/>
          <w:lang w:val="en-US" w:eastAsia="zh-CN"/>
        </w:rPr>
        <w:t>2</w:t>
      </w:r>
      <w:r>
        <w:rPr>
          <w:rStyle w:val="17"/>
          <w:rFonts w:hint="eastAsia" w:ascii="仿宋_GB2312" w:hAnsi="仿宋_GB2312" w:eastAsia="仿宋_GB2312" w:cs="仿宋_GB2312"/>
          <w:b w:val="0"/>
          <w:color w:val="000000"/>
          <w:sz w:val="32"/>
          <w:szCs w:val="32"/>
        </w:rPr>
        <w:t>万元</w:t>
      </w:r>
      <w:r>
        <w:rPr>
          <w:rStyle w:val="17"/>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spacing w:line="576" w:lineRule="exact"/>
        <w:ind w:firstLine="320" w:firstLineChars="100"/>
        <w:rPr>
          <w:rStyle w:val="17"/>
          <w:rFonts w:hint="eastAsia" w:ascii="仿宋_GB2312" w:hAnsi="仿宋_GB2312" w:eastAsia="仿宋_GB2312" w:cs="仿宋_GB2312"/>
          <w:b w:val="0"/>
          <w:color w:val="000000"/>
          <w:sz w:val="32"/>
          <w:szCs w:val="32"/>
          <w:lang w:eastAsia="zh-CN"/>
        </w:rPr>
      </w:pPr>
      <w:r>
        <w:rPr>
          <w:rFonts w:hint="default" w:ascii="仿宋_GB2312" w:hAnsi="仿宋_GB2312" w:eastAsia="仿宋_GB2312" w:cs="仿宋_GB2312"/>
          <w:color w:val="000000"/>
          <w:sz w:val="32"/>
          <w:szCs w:val="32"/>
          <w:lang w:eastAsia="zh-CN"/>
        </w:rPr>
        <w:t>5</w:t>
      </w:r>
      <w:r>
        <w:rPr>
          <w:rFonts w:hint="eastAsia" w:ascii="仿宋_GB2312" w:hAnsi="仿宋_GB2312" w:eastAsia="仿宋_GB2312" w:cs="仿宋_GB2312"/>
          <w:color w:val="000000"/>
          <w:sz w:val="32"/>
          <w:szCs w:val="32"/>
          <w:lang w:val="en-US" w:eastAsia="zh-CN"/>
        </w:rPr>
        <w:t>.灾害</w:t>
      </w:r>
      <w:r>
        <w:rPr>
          <w:rFonts w:hint="eastAsia" w:ascii="仿宋_GB2312" w:hAnsi="仿宋_GB2312" w:eastAsia="仿宋_GB2312" w:cs="仿宋_GB2312"/>
          <w:color w:val="000000"/>
          <w:sz w:val="32"/>
          <w:szCs w:val="32"/>
        </w:rPr>
        <w:t>防治及应急管理支出（类）224自然灾害救灾及恢复重建支出（款）0</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自然灾害救灾补助（项）</w:t>
      </w:r>
      <w:r>
        <w:rPr>
          <w:rFonts w:hint="default" w:ascii="仿宋_GB2312" w:hAnsi="仿宋_GB2312" w:eastAsia="仿宋_GB2312" w:cs="仿宋_GB2312"/>
          <w:color w:val="000000"/>
          <w:sz w:val="32"/>
          <w:szCs w:val="32"/>
        </w:rPr>
        <w:t>03</w:t>
      </w:r>
      <w:r>
        <w:rPr>
          <w:rStyle w:val="17"/>
          <w:rFonts w:hint="eastAsia" w:ascii="仿宋_GB2312" w:hAnsi="仿宋_GB2312" w:eastAsia="仿宋_GB2312" w:cs="仿宋_GB2312"/>
          <w:b w:val="0"/>
          <w:color w:val="000000"/>
          <w:sz w:val="32"/>
          <w:szCs w:val="32"/>
        </w:rPr>
        <w:t>：支出决算为</w:t>
      </w:r>
      <w:r>
        <w:rPr>
          <w:rStyle w:val="17"/>
          <w:rFonts w:hint="default" w:ascii="仿宋_GB2312" w:hAnsi="仿宋_GB2312" w:eastAsia="仿宋_GB2312" w:cs="仿宋_GB2312"/>
          <w:b w:val="0"/>
          <w:color w:val="000000"/>
          <w:sz w:val="32"/>
          <w:szCs w:val="32"/>
        </w:rPr>
        <w:t>9</w:t>
      </w:r>
      <w:r>
        <w:rPr>
          <w:rStyle w:val="17"/>
          <w:rFonts w:hint="eastAsia" w:ascii="仿宋_GB2312" w:hAnsi="仿宋_GB2312" w:eastAsia="仿宋_GB2312" w:cs="仿宋_GB2312"/>
          <w:b w:val="0"/>
          <w:color w:val="000000"/>
          <w:sz w:val="32"/>
          <w:szCs w:val="32"/>
        </w:rPr>
        <w:t>万元</w:t>
      </w:r>
      <w:r>
        <w:rPr>
          <w:rStyle w:val="17"/>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rPr>
        <w:t>完成预算</w:t>
      </w:r>
      <w:r>
        <w:rPr>
          <w:rStyle w:val="17"/>
          <w:rFonts w:hint="eastAsia" w:ascii="仿宋_GB2312" w:hAnsi="仿宋_GB2312" w:eastAsia="仿宋_GB2312" w:cs="仿宋_GB2312"/>
          <w:b w:val="0"/>
          <w:color w:val="000000"/>
          <w:sz w:val="32"/>
          <w:szCs w:val="32"/>
        </w:rPr>
        <w:t>100%</w:t>
      </w:r>
      <w:r>
        <w:rPr>
          <w:rStyle w:val="17"/>
          <w:rFonts w:hint="eastAsia" w:ascii="仿宋_GB2312" w:hAnsi="仿宋_GB2312" w:eastAsia="仿宋_GB2312" w:cs="仿宋_GB2312"/>
          <w:b w:val="0"/>
          <w:color w:val="000000"/>
          <w:sz w:val="32"/>
          <w:szCs w:val="32"/>
          <w:lang w:eastAsia="zh-CN"/>
        </w:rPr>
        <w:t>。</w:t>
      </w:r>
    </w:p>
    <w:p>
      <w:pPr>
        <w:tabs>
          <w:tab w:val="right" w:pos="8306"/>
        </w:tabs>
        <w:spacing w:line="576" w:lineRule="exact"/>
        <w:ind w:firstLine="640"/>
        <w:outlineLvl w:val="1"/>
        <w:rPr>
          <w:rStyle w:val="28"/>
        </w:rPr>
      </w:pPr>
      <w:bookmarkStart w:id="74" w:name="_Toc871586187"/>
      <w:bookmarkStart w:id="75" w:name="_Toc15377214"/>
      <w:bookmarkStart w:id="76" w:name="_Toc41109375"/>
      <w:bookmarkStart w:id="77" w:name="_Toc859537357"/>
      <w:bookmarkStart w:id="78"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74"/>
      <w:bookmarkEnd w:id="75"/>
      <w:bookmarkEnd w:id="76"/>
      <w:bookmarkEnd w:id="77"/>
      <w:bookmarkEnd w:id="78"/>
      <w:r>
        <w:rPr>
          <w:rStyle w:val="28"/>
          <w:rFonts w:ascii="黑体" w:hAnsi="黑体" w:eastAsia="黑体"/>
          <w:b w:val="0"/>
        </w:rPr>
        <w:tab/>
      </w:r>
    </w:p>
    <w:p>
      <w:pPr>
        <w:spacing w:line="576"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666.40</w:t>
      </w:r>
      <w:r>
        <w:rPr>
          <w:rFonts w:hint="eastAsia" w:ascii="仿宋" w:hAnsi="仿宋" w:eastAsia="仿宋"/>
          <w:sz w:val="32"/>
          <w:szCs w:val="32"/>
        </w:rPr>
        <w:t>万元，其中：</w:t>
      </w:r>
    </w:p>
    <w:p>
      <w:pPr>
        <w:spacing w:line="576"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487.61</w:t>
      </w:r>
      <w:r>
        <w:rPr>
          <w:rFonts w:hint="eastAsia" w:ascii="仿宋" w:hAnsi="仿宋" w:eastAsia="仿宋"/>
          <w:sz w:val="32"/>
          <w:szCs w:val="32"/>
        </w:rPr>
        <w:t>万元，主要包括：基本工资、津贴补贴、奖金、机关事业单位基本养老保险缴费、职业年金缴费、</w:t>
      </w:r>
      <w:r>
        <w:rPr>
          <w:rFonts w:hint="eastAsia" w:ascii="仿宋" w:hAnsi="仿宋" w:eastAsia="仿宋"/>
          <w:sz w:val="32"/>
          <w:szCs w:val="32"/>
          <w:lang w:val="en-US" w:eastAsia="zh-CN"/>
        </w:rPr>
        <w:t>职工基本医疗保险缴费、</w:t>
      </w:r>
      <w:r>
        <w:rPr>
          <w:rFonts w:hint="eastAsia" w:ascii="仿宋" w:hAnsi="仿宋" w:eastAsia="仿宋"/>
          <w:sz w:val="32"/>
          <w:szCs w:val="32"/>
        </w:rPr>
        <w:t>其他社会保障缴费、住房公积金、其他工资福利支出、生活补助等。</w:t>
      </w:r>
    </w:p>
    <w:p>
      <w:pPr>
        <w:spacing w:line="576" w:lineRule="exact"/>
        <w:ind w:firstLine="645"/>
        <w:rPr>
          <w:rFonts w:ascii="仿宋" w:hAnsi="仿宋" w:eastAsia="仿宋"/>
          <w:b/>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178.79</w:t>
      </w:r>
      <w:r>
        <w:rPr>
          <w:rFonts w:hint="eastAsia" w:ascii="仿宋" w:hAnsi="仿宋" w:eastAsia="仿宋"/>
          <w:sz w:val="32"/>
          <w:szCs w:val="32"/>
        </w:rPr>
        <w:t>万元，主要包括：办公费、印刷费、水费、邮电费、差旅费、维修（护）费、租赁费、培训费、劳务费、</w:t>
      </w:r>
      <w:r>
        <w:rPr>
          <w:rFonts w:hint="eastAsia" w:ascii="仿宋" w:hAnsi="仿宋" w:eastAsia="仿宋"/>
          <w:sz w:val="32"/>
          <w:szCs w:val="32"/>
          <w:lang w:val="en-US" w:eastAsia="zh-CN"/>
        </w:rPr>
        <w:t>委托业务费、</w:t>
      </w:r>
      <w:r>
        <w:rPr>
          <w:rFonts w:hint="eastAsia" w:ascii="仿宋" w:hAnsi="仿宋" w:eastAsia="仿宋"/>
          <w:sz w:val="32"/>
          <w:szCs w:val="32"/>
        </w:rPr>
        <w:t>工会经费、福利费、其他交通费、其他商品和服务支出、办公设备购置。</w:t>
      </w:r>
    </w:p>
    <w:p>
      <w:pPr>
        <w:spacing w:line="576" w:lineRule="exact"/>
        <w:ind w:firstLine="640"/>
        <w:outlineLvl w:val="1"/>
        <w:rPr>
          <w:rStyle w:val="28"/>
          <w:rFonts w:ascii="黑体" w:hAnsi="黑体" w:eastAsia="黑体"/>
          <w:b w:val="0"/>
        </w:rPr>
      </w:pPr>
      <w:bookmarkStart w:id="79" w:name="_Toc15377215"/>
      <w:bookmarkStart w:id="80" w:name="_Toc1027434020"/>
      <w:bookmarkStart w:id="81" w:name="_Toc15396609"/>
      <w:bookmarkStart w:id="82" w:name="_Toc1139453120"/>
      <w:bookmarkStart w:id="83" w:name="_Toc1364407172"/>
      <w:r>
        <w:rPr>
          <w:rFonts w:hint="eastAsia" w:ascii="黑体" w:eastAsia="黑体"/>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79"/>
      <w:bookmarkEnd w:id="80"/>
      <w:bookmarkEnd w:id="81"/>
      <w:bookmarkEnd w:id="82"/>
      <w:bookmarkEnd w:id="83"/>
    </w:p>
    <w:p>
      <w:pPr>
        <w:spacing w:line="576" w:lineRule="exact"/>
        <w:ind w:firstLine="640"/>
        <w:outlineLvl w:val="2"/>
        <w:rPr>
          <w:rFonts w:ascii="仿宋" w:hAnsi="仿宋" w:eastAsia="仿宋"/>
          <w:b/>
          <w:sz w:val="32"/>
          <w:szCs w:val="32"/>
        </w:rPr>
      </w:pPr>
      <w:bookmarkStart w:id="84" w:name="_Toc15377216"/>
      <w:bookmarkStart w:id="85" w:name="_Toc1553765037"/>
      <w:r>
        <w:rPr>
          <w:rFonts w:hint="eastAsia" w:ascii="仿宋" w:hAnsi="仿宋" w:eastAsia="仿宋"/>
          <w:b/>
          <w:sz w:val="32"/>
          <w:szCs w:val="32"/>
        </w:rPr>
        <w:t>（一）“三公”经费财政拨款支出决算总体情况说明</w:t>
      </w:r>
      <w:bookmarkEnd w:id="84"/>
      <w:bookmarkEnd w:id="85"/>
    </w:p>
    <w:p>
      <w:pPr>
        <w:spacing w:line="576" w:lineRule="exact"/>
        <w:ind w:firstLine="640"/>
        <w:rPr>
          <w:rFonts w:hint="default" w:ascii="仿宋" w:hAnsi="仿宋" w:eastAsia="仿宋"/>
          <w:b/>
          <w:sz w:val="32"/>
          <w:szCs w:val="32"/>
          <w:lang w:val="en-US" w:eastAsia="zh-CN"/>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0</w:t>
      </w:r>
      <w:r>
        <w:rPr>
          <w:rFonts w:hint="eastAsia" w:ascii="仿宋" w:hAnsi="仿宋" w:eastAsia="仿宋"/>
          <w:sz w:val="32"/>
          <w:szCs w:val="32"/>
        </w:rPr>
        <w:t>万元，完成预算</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较上一年减少1.94万元。原因为厉行节约经费支出减少，</w:t>
      </w:r>
      <w:r>
        <w:rPr>
          <w:rFonts w:hint="eastAsia" w:ascii="仿宋_GB2312" w:eastAsia="仿宋_GB2312"/>
          <w:sz w:val="32"/>
          <w:szCs w:val="32"/>
        </w:rPr>
        <w:t>石龙工业园区指挥部</w:t>
      </w:r>
      <w:r>
        <w:rPr>
          <w:rFonts w:hint="eastAsia" w:ascii="仿宋" w:hAnsi="仿宋" w:eastAsia="仿宋"/>
          <w:sz w:val="32"/>
          <w:szCs w:val="32"/>
          <w:lang w:val="en-US" w:eastAsia="zh-CN"/>
        </w:rPr>
        <w:t>招商公务接待由区招商局统一接待。</w:t>
      </w:r>
    </w:p>
    <w:p>
      <w:pPr>
        <w:spacing w:line="576" w:lineRule="exact"/>
        <w:ind w:firstLine="640"/>
        <w:outlineLvl w:val="2"/>
        <w:rPr>
          <w:rFonts w:ascii="仿宋" w:hAnsi="仿宋" w:eastAsia="仿宋"/>
          <w:b/>
          <w:sz w:val="32"/>
          <w:szCs w:val="32"/>
        </w:rPr>
      </w:pPr>
      <w:bookmarkStart w:id="86" w:name="_Toc1385481957"/>
      <w:bookmarkStart w:id="87" w:name="_Toc15377217"/>
      <w:r>
        <w:rPr>
          <w:rFonts w:hint="eastAsia" w:ascii="仿宋" w:hAnsi="仿宋" w:eastAsia="仿宋"/>
          <w:b/>
          <w:sz w:val="32"/>
          <w:szCs w:val="32"/>
        </w:rPr>
        <w:t>（二）“三公”经费财政拨款支出决算具体情况说明</w:t>
      </w:r>
      <w:bookmarkEnd w:id="86"/>
      <w:bookmarkEnd w:id="87"/>
    </w:p>
    <w:p>
      <w:pPr>
        <w:spacing w:line="576"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pPr>
        <w:numPr>
          <w:ilvl w:val="0"/>
          <w:numId w:val="4"/>
        </w:numPr>
        <w:spacing w:line="576" w:lineRule="exact"/>
        <w:ind w:firstLine="680"/>
        <w:rPr>
          <w:rFonts w:hint="eastAsia" w:ascii="仿宋_GB2312" w:eastAsia="仿宋_GB2312"/>
          <w:sz w:val="32"/>
          <w:szCs w:val="32"/>
        </w:rPr>
      </w:pP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7"/>
          <w:rFonts w:hint="eastAsia" w:ascii="仿宋" w:hAnsi="仿宋" w:eastAsia="仿宋"/>
          <w:b w:val="0"/>
          <w:bCs/>
          <w:sz w:val="32"/>
          <w:szCs w:val="32"/>
        </w:rPr>
        <w:t>。</w:t>
      </w:r>
      <w:r>
        <w:rPr>
          <w:rFonts w:hint="eastAsia" w:ascii="仿宋_GB2312" w:eastAsia="仿宋_GB2312"/>
          <w:sz w:val="32"/>
          <w:szCs w:val="32"/>
          <w:lang w:eastAsia="zh-CN"/>
        </w:rPr>
        <w:t>年初未安排预算</w:t>
      </w:r>
      <w:r>
        <w:rPr>
          <w:rFonts w:hint="eastAsia" w:ascii="仿宋_GB2312" w:eastAsia="仿宋_GB2312"/>
          <w:sz w:val="32"/>
          <w:szCs w:val="32"/>
        </w:rPr>
        <w:t>。因公出国（境）</w:t>
      </w:r>
      <w:r>
        <w:rPr>
          <w:rFonts w:hint="eastAsia" w:ascii="仿宋_GB2312" w:eastAsia="仿宋_GB2312"/>
          <w:sz w:val="32"/>
          <w:szCs w:val="32"/>
          <w:lang w:eastAsia="zh-CN"/>
        </w:rPr>
        <w:t>经费</w:t>
      </w:r>
      <w:r>
        <w:rPr>
          <w:rFonts w:hint="eastAsia" w:ascii="仿宋_GB2312" w:eastAsia="仿宋_GB2312"/>
          <w:sz w:val="32"/>
          <w:szCs w:val="32"/>
        </w:rPr>
        <w:t>支出</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无变化</w:t>
      </w:r>
      <w:r>
        <w:rPr>
          <w:rFonts w:hint="eastAsia" w:ascii="仿宋_GB2312" w:eastAsia="仿宋_GB2312"/>
          <w:sz w:val="32"/>
          <w:szCs w:val="32"/>
        </w:rPr>
        <w:t>。</w:t>
      </w:r>
    </w:p>
    <w:p>
      <w:pPr>
        <w:numPr>
          <w:ilvl w:val="0"/>
          <w:numId w:val="0"/>
        </w:numPr>
        <w:spacing w:line="576" w:lineRule="exact"/>
        <w:ind w:firstLine="642" w:firstLineChars="200"/>
        <w:rPr>
          <w:rFonts w:hint="default" w:ascii="仿宋_GB2312" w:eastAsia="仿宋_GB2312"/>
          <w:sz w:val="32"/>
          <w:szCs w:val="32"/>
          <w:lang w:val="en-US" w:eastAsia="zh-CN"/>
        </w:rPr>
      </w:pPr>
      <w:r>
        <w:rPr>
          <w:rFonts w:hint="eastAsia" w:ascii="仿宋_GB2312" w:eastAsia="仿宋_GB2312"/>
          <w:b/>
          <w:sz w:val="32"/>
          <w:szCs w:val="32"/>
        </w:rPr>
        <w:t>2.公务用车购置及运行维护费支出</w:t>
      </w:r>
      <w:r>
        <w:rPr>
          <w:rFonts w:hint="eastAsia" w:ascii="仿宋_GB2312" w:eastAsia="仿宋_GB2312"/>
          <w:sz w:val="32"/>
          <w:szCs w:val="32"/>
        </w:rPr>
        <w:t>0万元</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年初未安排预算，</w:t>
      </w:r>
      <w:r>
        <w:rPr>
          <w:rFonts w:hint="eastAsia" w:ascii="仿宋_GB2312" w:eastAsia="仿宋_GB2312"/>
          <w:sz w:val="32"/>
          <w:szCs w:val="32"/>
        </w:rPr>
        <w:t>公务用车购置及运行维护费支出</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无变化</w:t>
      </w:r>
      <w:r>
        <w:rPr>
          <w:rFonts w:hint="eastAsia" w:ascii="仿宋_GB2312" w:eastAsia="仿宋_GB2312"/>
          <w:sz w:val="32"/>
          <w:szCs w:val="32"/>
        </w:rPr>
        <w:t>。</w:t>
      </w:r>
      <w:r>
        <w:rPr>
          <w:rFonts w:hint="eastAsia" w:ascii="仿宋_GB2312" w:eastAsia="仿宋_GB2312"/>
          <w:sz w:val="32"/>
          <w:szCs w:val="32"/>
          <w:lang w:val="en-US" w:eastAsia="zh-CN"/>
        </w:rPr>
        <w:t>截止2022年12月31日，公务车购置0辆。</w:t>
      </w:r>
    </w:p>
    <w:p>
      <w:pPr>
        <w:spacing w:line="576"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减少1.94</w:t>
      </w:r>
      <w:r>
        <w:rPr>
          <w:rFonts w:hint="eastAsia" w:ascii="仿宋_GB2312" w:eastAsia="仿宋_GB2312"/>
          <w:sz w:val="32"/>
          <w:szCs w:val="32"/>
        </w:rPr>
        <w:t>万元，</w:t>
      </w:r>
      <w:r>
        <w:rPr>
          <w:rFonts w:hint="eastAsia" w:ascii="仿宋_GB2312" w:eastAsia="仿宋_GB2312"/>
          <w:sz w:val="32"/>
          <w:szCs w:val="32"/>
          <w:lang w:val="en-US" w:eastAsia="zh-CN"/>
        </w:rPr>
        <w:t>减少100%</w:t>
      </w:r>
      <w:r>
        <w:rPr>
          <w:rFonts w:hint="eastAsia" w:ascii="仿宋_GB2312" w:eastAsia="仿宋_GB2312"/>
          <w:sz w:val="32"/>
          <w:szCs w:val="32"/>
        </w:rPr>
        <w:t>。主要原因是1.</w:t>
      </w:r>
      <w:r>
        <w:rPr>
          <w:rFonts w:hint="eastAsia" w:ascii="仿宋_GB2312" w:eastAsia="仿宋_GB2312"/>
          <w:sz w:val="32"/>
          <w:szCs w:val="32"/>
          <w:lang w:val="en-US" w:eastAsia="zh-CN"/>
        </w:rPr>
        <w:t>落实厉行节约</w:t>
      </w:r>
      <w:r>
        <w:rPr>
          <w:rFonts w:hint="eastAsia" w:ascii="仿宋_GB2312" w:eastAsia="仿宋_GB2312"/>
          <w:sz w:val="32"/>
          <w:szCs w:val="32"/>
        </w:rPr>
        <w:t>。2.</w:t>
      </w:r>
      <w:r>
        <w:rPr>
          <w:rFonts w:hint="eastAsia" w:ascii="仿宋_GB2312" w:eastAsia="仿宋_GB2312"/>
          <w:sz w:val="32"/>
          <w:szCs w:val="32"/>
          <w:lang w:val="en-US" w:eastAsia="zh-CN"/>
        </w:rPr>
        <w:t>上级调整，</w:t>
      </w:r>
      <w:r>
        <w:rPr>
          <w:rFonts w:hint="eastAsia" w:ascii="仿宋_GB2312" w:eastAsia="仿宋_GB2312"/>
          <w:sz w:val="32"/>
          <w:szCs w:val="32"/>
        </w:rPr>
        <w:t>石龙工业园区指挥部招商</w:t>
      </w:r>
      <w:r>
        <w:rPr>
          <w:rFonts w:hint="eastAsia" w:ascii="仿宋_GB2312" w:eastAsia="仿宋_GB2312"/>
          <w:sz w:val="32"/>
          <w:szCs w:val="32"/>
          <w:lang w:val="en-US" w:eastAsia="zh-CN"/>
        </w:rPr>
        <w:t>公务接待由区招商局统一接待</w:t>
      </w:r>
      <w:r>
        <w:rPr>
          <w:rFonts w:hint="eastAsia" w:ascii="仿宋_GB2312" w:eastAsia="仿宋_GB2312"/>
          <w:sz w:val="32"/>
          <w:szCs w:val="32"/>
        </w:rPr>
        <w:t>。</w:t>
      </w:r>
    </w:p>
    <w:p>
      <w:pPr>
        <w:spacing w:line="576" w:lineRule="exact"/>
        <w:outlineLvl w:val="1"/>
        <w:rPr>
          <w:rStyle w:val="28"/>
          <w:rFonts w:ascii="黑体" w:hAnsi="黑体" w:eastAsia="黑体"/>
        </w:rPr>
      </w:pPr>
      <w:bookmarkStart w:id="88" w:name="_Toc15396610"/>
      <w:bookmarkStart w:id="89" w:name="_Toc887217646"/>
      <w:bookmarkStart w:id="90" w:name="_Toc1779904477"/>
      <w:bookmarkStart w:id="91" w:name="_Toc1921189587"/>
      <w:bookmarkStart w:id="92" w:name="_Toc15377218"/>
      <w:r>
        <w:rPr>
          <w:rFonts w:hint="eastAsia" w:ascii="黑体" w:eastAsia="黑体"/>
          <w:sz w:val="32"/>
          <w:szCs w:val="32"/>
        </w:rPr>
        <w:t>八、</w:t>
      </w:r>
      <w:r>
        <w:rPr>
          <w:rStyle w:val="28"/>
          <w:rFonts w:hint="eastAsia" w:ascii="黑体" w:hAnsi="黑体" w:eastAsia="黑体"/>
          <w:b w:val="0"/>
        </w:rPr>
        <w:t>政府性基金预算支出决算情况说明</w:t>
      </w:r>
      <w:bookmarkEnd w:id="88"/>
      <w:bookmarkEnd w:id="89"/>
      <w:bookmarkEnd w:id="90"/>
      <w:bookmarkEnd w:id="91"/>
      <w:bookmarkEnd w:id="92"/>
    </w:p>
    <w:p>
      <w:pPr>
        <w:spacing w:line="576" w:lineRule="exact"/>
        <w:ind w:firstLine="640"/>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年政府性基金预算财政拨款支出</w:t>
      </w:r>
      <w:r>
        <w:rPr>
          <w:rFonts w:hint="eastAsia" w:ascii="仿宋_GB2312" w:eastAsia="仿宋_GB2312"/>
          <w:sz w:val="32"/>
          <w:szCs w:val="32"/>
          <w:lang w:val="en-US" w:eastAsia="zh-CN"/>
        </w:rPr>
        <w:t>857.66</w:t>
      </w:r>
      <w:r>
        <w:rPr>
          <w:rFonts w:hint="eastAsia" w:ascii="仿宋_GB2312" w:eastAsia="仿宋_GB2312"/>
          <w:sz w:val="32"/>
          <w:szCs w:val="32"/>
        </w:rPr>
        <w:t>万元。</w:t>
      </w:r>
    </w:p>
    <w:p>
      <w:pPr>
        <w:numPr>
          <w:ilvl w:val="0"/>
          <w:numId w:val="5"/>
        </w:numPr>
        <w:spacing w:line="576" w:lineRule="exact"/>
        <w:ind w:firstLine="640"/>
        <w:outlineLvl w:val="1"/>
        <w:rPr>
          <w:rStyle w:val="28"/>
          <w:rFonts w:ascii="黑体" w:hAnsi="黑体" w:eastAsia="黑体"/>
          <w:b w:val="0"/>
        </w:rPr>
      </w:pPr>
      <w:bookmarkStart w:id="93" w:name="_Toc1726578655"/>
      <w:bookmarkStart w:id="94" w:name="_Toc15396611"/>
      <w:bookmarkStart w:id="95" w:name="_Toc113732259"/>
      <w:bookmarkStart w:id="96" w:name="_Toc855939078"/>
      <w:bookmarkStart w:id="97" w:name="_Toc15377219"/>
      <w:r>
        <w:rPr>
          <w:rStyle w:val="28"/>
          <w:rFonts w:hint="eastAsia" w:ascii="黑体" w:hAnsi="黑体" w:eastAsia="黑体"/>
          <w:b w:val="0"/>
        </w:rPr>
        <w:t>国有资本经营预算支出决算情况说明</w:t>
      </w:r>
      <w:bookmarkEnd w:id="93"/>
      <w:bookmarkEnd w:id="94"/>
      <w:bookmarkEnd w:id="95"/>
      <w:bookmarkEnd w:id="96"/>
      <w:bookmarkEnd w:id="97"/>
    </w:p>
    <w:p>
      <w:pPr>
        <w:spacing w:line="576" w:lineRule="exact"/>
        <w:ind w:firstLine="640"/>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年国有资本经营预算财政拨款支出0万元。</w:t>
      </w:r>
      <w:bookmarkStart w:id="98" w:name="_Toc15377221"/>
      <w:bookmarkStart w:id="99" w:name="_Toc15396612"/>
    </w:p>
    <w:p>
      <w:pPr>
        <w:numPr>
          <w:ilvl w:val="0"/>
          <w:numId w:val="5"/>
        </w:numPr>
        <w:spacing w:line="576" w:lineRule="exact"/>
        <w:ind w:firstLine="640"/>
        <w:outlineLvl w:val="1"/>
        <w:rPr>
          <w:rStyle w:val="28"/>
          <w:rFonts w:ascii="黑体" w:hAnsi="黑体" w:eastAsia="黑体"/>
          <w:b w:val="0"/>
        </w:rPr>
      </w:pPr>
      <w:bookmarkStart w:id="100" w:name="_Toc2009509456"/>
      <w:bookmarkStart w:id="101" w:name="_Toc1090646642"/>
      <w:bookmarkStart w:id="102" w:name="_Toc1384562862"/>
      <w:r>
        <w:rPr>
          <w:rStyle w:val="28"/>
          <w:rFonts w:hint="eastAsia" w:ascii="黑体" w:hAnsi="黑体" w:eastAsia="黑体"/>
          <w:b w:val="0"/>
        </w:rPr>
        <w:t>其他重要事项的情况说明</w:t>
      </w:r>
      <w:bookmarkEnd w:id="98"/>
      <w:bookmarkEnd w:id="99"/>
      <w:bookmarkEnd w:id="100"/>
      <w:bookmarkEnd w:id="101"/>
      <w:bookmarkEnd w:id="102"/>
    </w:p>
    <w:p>
      <w:pPr>
        <w:spacing w:line="576" w:lineRule="exact"/>
        <w:ind w:firstLine="642" w:firstLineChars="200"/>
        <w:outlineLvl w:val="2"/>
        <w:rPr>
          <w:rFonts w:ascii="仿宋" w:hAnsi="仿宋" w:eastAsia="仿宋"/>
          <w:sz w:val="32"/>
          <w:szCs w:val="32"/>
        </w:rPr>
      </w:pPr>
      <w:bookmarkStart w:id="103" w:name="_Toc72735532"/>
      <w:bookmarkStart w:id="104" w:name="_Toc15377222"/>
      <w:r>
        <w:rPr>
          <w:rFonts w:hint="eastAsia" w:ascii="仿宋" w:hAnsi="仿宋" w:eastAsia="仿宋"/>
          <w:b/>
          <w:sz w:val="32"/>
          <w:szCs w:val="32"/>
        </w:rPr>
        <w:t>（一）机关运行经费支出情况</w:t>
      </w:r>
      <w:bookmarkEnd w:id="103"/>
      <w:bookmarkEnd w:id="104"/>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年，石龙街道机关运行经费支出</w:t>
      </w:r>
      <w:r>
        <w:rPr>
          <w:rFonts w:hint="eastAsia" w:ascii="仿宋_GB2312" w:eastAsia="仿宋_GB2312"/>
          <w:sz w:val="32"/>
          <w:szCs w:val="32"/>
          <w:lang w:val="en-US" w:eastAsia="zh-CN"/>
        </w:rPr>
        <w:t>178.79</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减少81.72</w:t>
      </w:r>
      <w:r>
        <w:rPr>
          <w:rFonts w:hint="eastAsia" w:ascii="仿宋_GB2312" w:eastAsia="仿宋_GB2312"/>
          <w:sz w:val="32"/>
          <w:szCs w:val="32"/>
        </w:rPr>
        <w:t>万元。主要原因是将</w:t>
      </w:r>
      <w:r>
        <w:rPr>
          <w:rFonts w:hint="eastAsia" w:ascii="仿宋_GB2312" w:eastAsia="仿宋_GB2312"/>
          <w:sz w:val="32"/>
          <w:szCs w:val="32"/>
          <w:lang w:val="en-US" w:eastAsia="zh-CN"/>
        </w:rPr>
        <w:t>聘用人员工资</w:t>
      </w:r>
      <w:r>
        <w:rPr>
          <w:rFonts w:hint="eastAsia" w:ascii="仿宋_GB2312" w:eastAsia="仿宋_GB2312"/>
          <w:sz w:val="32"/>
          <w:szCs w:val="32"/>
        </w:rPr>
        <w:t>调整</w:t>
      </w:r>
      <w:r>
        <w:rPr>
          <w:rFonts w:hint="eastAsia" w:ascii="仿宋_GB2312" w:eastAsia="仿宋_GB2312"/>
          <w:sz w:val="32"/>
          <w:szCs w:val="32"/>
          <w:lang w:val="en-US" w:eastAsia="zh-CN"/>
        </w:rPr>
        <w:t>工资福利支出</w:t>
      </w:r>
      <w:r>
        <w:rPr>
          <w:rFonts w:hint="eastAsia" w:ascii="仿宋_GB2312" w:eastAsia="仿宋_GB2312"/>
          <w:sz w:val="32"/>
          <w:szCs w:val="32"/>
        </w:rPr>
        <w:t>。</w:t>
      </w:r>
    </w:p>
    <w:p>
      <w:pPr>
        <w:autoSpaceDE w:val="0"/>
        <w:autoSpaceDN w:val="0"/>
        <w:adjustRightInd w:val="0"/>
        <w:spacing w:line="576" w:lineRule="exact"/>
        <w:ind w:firstLine="642" w:firstLineChars="200"/>
        <w:outlineLvl w:val="2"/>
        <w:rPr>
          <w:rFonts w:ascii="仿宋" w:hAnsi="仿宋" w:eastAsia="仿宋"/>
          <w:b/>
          <w:sz w:val="32"/>
          <w:szCs w:val="32"/>
        </w:rPr>
      </w:pPr>
      <w:bookmarkStart w:id="105" w:name="_Toc15377223"/>
      <w:bookmarkStart w:id="106" w:name="_Toc265105695"/>
      <w:r>
        <w:rPr>
          <w:rFonts w:hint="eastAsia" w:ascii="仿宋" w:hAnsi="仿宋" w:eastAsia="仿宋"/>
          <w:b/>
          <w:sz w:val="32"/>
          <w:szCs w:val="32"/>
        </w:rPr>
        <w:t>（二）政府采购支出情况</w:t>
      </w:r>
      <w:bookmarkEnd w:id="105"/>
      <w:bookmarkEnd w:id="106"/>
    </w:p>
    <w:p>
      <w:pPr>
        <w:spacing w:line="576"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年，石龙街道政府采购支出总额</w:t>
      </w:r>
      <w:r>
        <w:rPr>
          <w:rFonts w:hint="eastAsia" w:ascii="仿宋_GB2312" w:eastAsia="仿宋_GB2312"/>
          <w:sz w:val="32"/>
          <w:szCs w:val="32"/>
          <w:lang w:val="en-US" w:eastAsia="zh-CN"/>
        </w:rPr>
        <w:t>3.42</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3.42</w:t>
      </w:r>
      <w:r>
        <w:rPr>
          <w:rFonts w:hint="eastAsia" w:ascii="仿宋_GB2312" w:eastAsia="仿宋_GB2312"/>
          <w:sz w:val="32"/>
          <w:szCs w:val="32"/>
        </w:rPr>
        <w:t>万元，占政府采购支出总额的100</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val="en-US" w:eastAsia="zh-CN"/>
        </w:rPr>
        <w:t>中小企业采购数为0，小微企业采购为0。主要用于职工食堂设备采购。</w:t>
      </w:r>
    </w:p>
    <w:p>
      <w:pPr>
        <w:autoSpaceDE w:val="0"/>
        <w:autoSpaceDN w:val="0"/>
        <w:adjustRightInd w:val="0"/>
        <w:spacing w:line="576" w:lineRule="exact"/>
        <w:ind w:firstLine="642" w:firstLineChars="200"/>
        <w:outlineLvl w:val="2"/>
        <w:rPr>
          <w:rFonts w:ascii="仿宋" w:hAnsi="仿宋" w:eastAsia="仿宋"/>
          <w:b/>
          <w:sz w:val="32"/>
          <w:szCs w:val="32"/>
        </w:rPr>
      </w:pPr>
      <w:bookmarkStart w:id="107" w:name="_Toc15377224"/>
      <w:bookmarkStart w:id="108" w:name="_Toc109407336"/>
      <w:r>
        <w:rPr>
          <w:rFonts w:hint="eastAsia" w:ascii="仿宋" w:hAnsi="仿宋" w:eastAsia="仿宋"/>
          <w:b/>
          <w:sz w:val="32"/>
          <w:szCs w:val="32"/>
        </w:rPr>
        <w:t>（三）国有资产占有使用情况</w:t>
      </w:r>
      <w:bookmarkEnd w:id="107"/>
      <w:bookmarkEnd w:id="108"/>
    </w:p>
    <w:p>
      <w:pPr>
        <w:autoSpaceDE w:val="0"/>
        <w:autoSpaceDN w:val="0"/>
        <w:adjustRightInd w:val="0"/>
        <w:spacing w:line="600" w:lineRule="exact"/>
        <w:ind w:firstLine="640" w:firstLineChars="200"/>
        <w:jc w:val="left"/>
        <w:rPr>
          <w:rFonts w:hint="eastAsia" w:ascii="仿宋" w:hAnsi="仿宋" w:eastAsia="仿宋" w:cs="Times New Roman"/>
          <w:color w:val="000000"/>
          <w:kern w:val="2"/>
          <w:sz w:val="32"/>
          <w:szCs w:val="32"/>
          <w:lang w:val="en-US" w:eastAsia="zh-CN" w:bidi="ar"/>
        </w:rPr>
      </w:pPr>
      <w:bookmarkStart w:id="109" w:name="_Toc15377225"/>
      <w:bookmarkStart w:id="110" w:name="_Toc15396613"/>
      <w:r>
        <w:rPr>
          <w:rFonts w:hint="eastAsia" w:ascii="仿宋" w:hAnsi="仿宋" w:eastAsia="仿宋" w:cs="Times New Roman"/>
          <w:color w:val="000000"/>
          <w:kern w:val="2"/>
          <w:sz w:val="32"/>
          <w:szCs w:val="32"/>
          <w:lang w:val="en-US" w:eastAsia="zh-CN" w:bidi="ar"/>
        </w:rPr>
        <w:t>截至2022年12月31日，</w:t>
      </w:r>
      <w:r>
        <w:rPr>
          <w:rFonts w:hint="eastAsia" w:ascii="仿宋" w:hAnsi="仿宋" w:eastAsia="仿宋"/>
          <w:color w:val="000000"/>
          <w:sz w:val="32"/>
          <w:szCs w:val="32"/>
        </w:rPr>
        <w:t>石龙街道共有车辆0辆。</w:t>
      </w:r>
      <w:r>
        <w:rPr>
          <w:rFonts w:hint="eastAsia" w:ascii="仿宋" w:hAnsi="仿宋" w:eastAsia="仿宋" w:cs="Times New Roman"/>
          <w:color w:val="000000"/>
          <w:kern w:val="2"/>
          <w:sz w:val="32"/>
          <w:szCs w:val="32"/>
          <w:lang w:val="en-US" w:eastAsia="zh-CN" w:bidi="ar"/>
        </w:rPr>
        <w:t>单价100万元以上专用设备0台（套）。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Style w:val="28"/>
          <w:rFonts w:hint="eastAsia" w:ascii="仿宋" w:hAnsi="仿宋" w:eastAsia="仿宋" w:cs="仿宋"/>
          <w:b/>
          <w:bCs/>
          <w:color w:val="000000" w:themeColor="text1"/>
          <w:highlight w:val="none"/>
          <w:lang w:eastAsia="zh-CN"/>
        </w:rPr>
      </w:pPr>
      <w:r>
        <w:rPr>
          <w:rFonts w:hint="eastAsia" w:ascii="仿宋" w:hAnsi="仿宋" w:eastAsia="仿宋" w:cs="仿宋"/>
          <w:b/>
          <w:bCs/>
          <w:color w:val="000000"/>
          <w:kern w:val="2"/>
          <w:sz w:val="32"/>
          <w:szCs w:val="32"/>
          <w:lang w:val="en-US" w:eastAsia="zh-CN" w:bidi="ar"/>
        </w:rPr>
        <w:t>（四）</w:t>
      </w:r>
      <w:r>
        <w:rPr>
          <w:rStyle w:val="28"/>
          <w:rFonts w:hint="eastAsia" w:ascii="仿宋" w:hAnsi="仿宋" w:eastAsia="仿宋" w:cs="仿宋"/>
          <w:b/>
          <w:bCs/>
          <w:color w:val="000000" w:themeColor="text1"/>
          <w:highlight w:val="none"/>
          <w:lang w:eastAsia="zh-CN"/>
        </w:rPr>
        <w:t>预算绩效管理情况</w:t>
      </w:r>
    </w:p>
    <w:p>
      <w:pPr>
        <w:numPr>
          <w:ilvl w:val="0"/>
          <w:numId w:val="0"/>
        </w:numPr>
        <w:spacing w:line="600" w:lineRule="exact"/>
        <w:ind w:firstLine="640" w:firstLineChars="200"/>
        <w:outlineLvl w:val="1"/>
        <w:rPr>
          <w:rFonts w:hint="eastAsia"/>
          <w:color w:val="000000" w:themeColor="text1"/>
          <w:highlight w:val="none"/>
          <w:lang w:eastAsia="zh-CN"/>
        </w:rPr>
      </w:pPr>
      <w:bookmarkStart w:id="111" w:name="_Toc745205997"/>
      <w:bookmarkStart w:id="112" w:name="_Toc711888003"/>
      <w:bookmarkStart w:id="113" w:name="_Toc799362416"/>
      <w:bookmarkStart w:id="114" w:name="_Toc1453355003"/>
      <w:r>
        <w:rPr>
          <w:rFonts w:hint="eastAsia" w:ascii="仿宋_GB2312" w:hAnsi="仿宋_GB2312" w:eastAsia="仿宋_GB2312" w:cs="仿宋_GB2312"/>
          <w:color w:val="000000" w:themeColor="text1"/>
          <w:sz w:val="32"/>
          <w:szCs w:val="32"/>
          <w:highlight w:val="none"/>
        </w:rPr>
        <w:t>根据预算绩效管理要求，本</w:t>
      </w:r>
      <w:r>
        <w:rPr>
          <w:rFonts w:hint="eastAsia" w:ascii="仿宋_GB2312" w:hAnsi="仿宋_GB2312" w:eastAsia="仿宋_GB2312" w:cs="仿宋_GB2312"/>
          <w:color w:val="000000" w:themeColor="text1"/>
          <w:sz w:val="32"/>
          <w:szCs w:val="32"/>
          <w:highlight w:val="none"/>
          <w:lang w:val="en-US" w:eastAsia="zh-CN"/>
        </w:rPr>
        <w:t>单位</w:t>
      </w:r>
      <w:r>
        <w:rPr>
          <w:rFonts w:hint="eastAsia" w:ascii="仿宋_GB2312" w:hAnsi="仿宋_GB2312" w:eastAsia="仿宋_GB2312" w:cs="仿宋_GB2312"/>
          <w:color w:val="000000" w:themeColor="text1"/>
          <w:sz w:val="32"/>
          <w:szCs w:val="32"/>
          <w:highlight w:val="none"/>
        </w:rPr>
        <w:t>在</w:t>
      </w:r>
      <w:r>
        <w:rPr>
          <w:rFonts w:hint="eastAsia" w:ascii="仿宋_GB2312" w:hAnsi="仿宋_GB2312" w:eastAsia="仿宋_GB2312" w:cs="仿宋_GB2312"/>
          <w:color w:val="000000" w:themeColor="text1"/>
          <w:sz w:val="32"/>
          <w:szCs w:val="32"/>
          <w:highlight w:val="none"/>
          <w:lang w:val="en-US" w:eastAsia="zh-CN"/>
        </w:rPr>
        <w:t>2022年度</w:t>
      </w:r>
      <w:r>
        <w:rPr>
          <w:rFonts w:hint="eastAsia" w:ascii="仿宋_GB2312" w:hAnsi="仿宋_GB2312" w:eastAsia="仿宋_GB2312" w:cs="仿宋_GB2312"/>
          <w:color w:val="000000" w:themeColor="text1"/>
          <w:sz w:val="32"/>
          <w:szCs w:val="32"/>
          <w:highlight w:val="none"/>
        </w:rPr>
        <w:t>预算编制阶段，</w:t>
      </w:r>
      <w:r>
        <w:rPr>
          <w:rFonts w:hint="eastAsia" w:ascii="仿宋_GB2312" w:hAnsi="仿宋_GB2312" w:eastAsia="仿宋_GB2312" w:cs="仿宋_GB2312"/>
          <w:color w:val="000000" w:themeColor="text1"/>
          <w:sz w:val="32"/>
          <w:szCs w:val="32"/>
          <w:highlight w:val="none"/>
          <w:lang w:eastAsia="zh-CN"/>
        </w:rPr>
        <w:t>林业草原防灾减灾、公共安全与</w:t>
      </w:r>
      <w:r>
        <w:rPr>
          <w:rFonts w:hint="eastAsia" w:ascii="仿宋_GB2312" w:hAnsi="仿宋_GB2312" w:eastAsia="仿宋_GB2312" w:cs="仿宋_GB2312"/>
          <w:color w:val="000000" w:themeColor="text1"/>
          <w:sz w:val="32"/>
          <w:szCs w:val="32"/>
          <w:highlight w:val="none"/>
          <w:lang w:val="en-US" w:eastAsia="zh-CN"/>
        </w:rPr>
        <w:t>灾害防治及应急管理支出</w:t>
      </w:r>
      <w:r>
        <w:rPr>
          <w:rFonts w:hint="eastAsia" w:ascii="仿宋_GB2312" w:hAnsi="仿宋_GB2312" w:eastAsia="仿宋_GB2312" w:cs="仿宋_GB2312"/>
          <w:color w:val="000000" w:themeColor="text1"/>
          <w:sz w:val="32"/>
          <w:szCs w:val="32"/>
          <w:highlight w:val="none"/>
          <w:lang w:eastAsia="zh-CN"/>
        </w:rPr>
        <w:t>等</w:t>
      </w:r>
      <w:r>
        <w:rPr>
          <w:rFonts w:hint="eastAsia" w:ascii="仿宋_GB2312" w:hAnsi="仿宋_GB2312" w:eastAsia="仿宋_GB2312" w:cs="仿宋_GB2312"/>
          <w:color w:val="000000" w:themeColor="text1"/>
          <w:sz w:val="32"/>
          <w:szCs w:val="32"/>
          <w:highlight w:val="none"/>
          <w:lang w:val="en-US" w:eastAsia="zh-CN"/>
        </w:rPr>
        <w:t>项目</w:t>
      </w:r>
      <w:r>
        <w:rPr>
          <w:rFonts w:hint="eastAsia" w:ascii="仿宋_GB2312" w:hAnsi="仿宋_GB2312" w:eastAsia="仿宋_GB2312" w:cs="仿宋_GB2312"/>
          <w:color w:val="000000" w:themeColor="text1"/>
          <w:sz w:val="32"/>
          <w:szCs w:val="32"/>
          <w:highlight w:val="none"/>
        </w:rPr>
        <w:t>开展了预算事前绩效评估，对</w:t>
      </w:r>
      <w:r>
        <w:rPr>
          <w:rFonts w:hint="eastAsia" w:ascii="仿宋_GB2312" w:hAnsi="仿宋_GB2312" w:eastAsia="仿宋_GB2312" w:cs="仿宋_GB2312"/>
          <w:color w:val="000000" w:themeColor="text1"/>
          <w:sz w:val="32"/>
          <w:szCs w:val="32"/>
          <w:highlight w:val="none"/>
          <w:lang w:val="en-US" w:eastAsia="zh-CN"/>
        </w:rPr>
        <w:t>21</w:t>
      </w:r>
      <w:r>
        <w:rPr>
          <w:rFonts w:hint="eastAsia" w:ascii="仿宋_GB2312" w:hAnsi="仿宋_GB2312" w:eastAsia="仿宋_GB2312" w:cs="仿宋_GB2312"/>
          <w:color w:val="000000" w:themeColor="text1"/>
          <w:sz w:val="32"/>
          <w:szCs w:val="32"/>
          <w:highlight w:val="none"/>
        </w:rPr>
        <w:t>个项目编制了绩效目标，预算执行过程中，选取</w:t>
      </w:r>
      <w:r>
        <w:rPr>
          <w:rFonts w:hint="eastAsia" w:ascii="仿宋_GB2312" w:hAnsi="仿宋_GB2312" w:eastAsia="仿宋_GB2312" w:cs="仿宋_GB2312"/>
          <w:color w:val="000000" w:themeColor="text1"/>
          <w:sz w:val="32"/>
          <w:szCs w:val="32"/>
          <w:highlight w:val="none"/>
          <w:lang w:val="en-US" w:eastAsia="zh-CN"/>
        </w:rPr>
        <w:t>10</w:t>
      </w:r>
      <w:r>
        <w:rPr>
          <w:rFonts w:hint="eastAsia" w:ascii="仿宋_GB2312" w:hAnsi="仿宋_GB2312" w:eastAsia="仿宋_GB2312" w:cs="仿宋_GB2312"/>
          <w:color w:val="000000" w:themeColor="text1"/>
          <w:sz w:val="32"/>
          <w:szCs w:val="32"/>
          <w:highlight w:val="none"/>
        </w:rPr>
        <w:t>个项目开展绩效监控，年终执行完毕后，对</w:t>
      </w:r>
      <w:r>
        <w:rPr>
          <w:rFonts w:hint="eastAsia" w:ascii="仿宋_GB2312" w:hAnsi="仿宋_GB2312" w:eastAsia="仿宋_GB2312" w:cs="仿宋_GB2312"/>
          <w:color w:val="000000" w:themeColor="text1"/>
          <w:sz w:val="32"/>
          <w:szCs w:val="32"/>
          <w:highlight w:val="none"/>
          <w:lang w:val="en-US" w:eastAsia="zh-CN"/>
        </w:rPr>
        <w:t>4</w:t>
      </w:r>
      <w:r>
        <w:rPr>
          <w:rFonts w:hint="eastAsia" w:ascii="仿宋_GB2312" w:hAnsi="仿宋_GB2312" w:eastAsia="仿宋_GB2312" w:cs="仿宋_GB2312"/>
          <w:color w:val="000000" w:themeColor="text1"/>
          <w:sz w:val="32"/>
          <w:szCs w:val="32"/>
          <w:highlight w:val="none"/>
        </w:rPr>
        <w:t>个项目开展了绩效自评</w:t>
      </w:r>
      <w:r>
        <w:rPr>
          <w:rFonts w:hint="eastAsia" w:ascii="仿宋_GB2312" w:hAnsi="仿宋_GB2312" w:eastAsia="仿宋_GB2312" w:cs="仿宋_GB2312"/>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highlight w:val="none"/>
        </w:rPr>
        <w:t>见附件（</w:t>
      </w:r>
      <w:r>
        <w:rPr>
          <w:rFonts w:hint="eastAsia" w:ascii="仿宋_GB2312" w:hAnsi="仿宋_GB2312" w:eastAsia="仿宋_GB2312" w:cs="仿宋_GB2312"/>
          <w:color w:val="000000" w:themeColor="text1"/>
          <w:sz w:val="32"/>
          <w:szCs w:val="32"/>
          <w:highlight w:val="none"/>
          <w:lang w:eastAsia="zh-CN"/>
        </w:rPr>
        <w:t>第四部分</w:t>
      </w:r>
      <w:r>
        <w:rPr>
          <w:rFonts w:hint="eastAsia" w:ascii="仿宋_GB2312" w:hAnsi="仿宋_GB2312" w:eastAsia="仿宋_GB2312" w:cs="仿宋_GB2312"/>
          <w:color w:val="000000" w:themeColor="text1"/>
          <w:sz w:val="32"/>
          <w:szCs w:val="32"/>
          <w:highlight w:val="none"/>
        </w:rPr>
        <w:t>）。</w:t>
      </w:r>
      <w:bookmarkEnd w:id="111"/>
      <w:bookmarkEnd w:id="112"/>
      <w:bookmarkEnd w:id="113"/>
      <w:bookmarkEnd w:id="114"/>
    </w:p>
    <w:p>
      <w:pPr>
        <w:pStyle w:val="2"/>
        <w:rPr>
          <w:rFonts w:ascii="方正小标宋简体" w:hAnsi="方正小标宋简体" w:eastAsia="方正小标宋简体" w:cs="方正小标宋简体"/>
          <w:bCs/>
          <w:sz w:val="44"/>
          <w:szCs w:val="44"/>
        </w:rPr>
      </w:pPr>
      <w:r>
        <w:rPr>
          <w:rFonts w:hint="eastAsia" w:ascii="仿宋" w:hAnsi="仿宋" w:eastAsia="仿宋" w:cs="Times New Roman"/>
          <w:color w:val="000000"/>
          <w:kern w:val="2"/>
          <w:sz w:val="32"/>
          <w:szCs w:val="32"/>
          <w:lang w:val="en-US" w:eastAsia="zh-CN" w:bidi="ar"/>
        </w:rPr>
        <w:t xml:space="preserve"> </w:t>
      </w:r>
    </w:p>
    <w:p>
      <w:pPr>
        <w:widowControl/>
        <w:spacing w:line="576"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第三部分名词解释</w:t>
      </w:r>
      <w:bookmarkEnd w:id="109"/>
      <w:bookmarkEnd w:id="110"/>
    </w:p>
    <w:p>
      <w:pPr>
        <w:pStyle w:val="2"/>
      </w:pPr>
    </w:p>
    <w:p>
      <w:pPr>
        <w:keepNext/>
        <w:keepLines/>
        <w:spacing w:line="576" w:lineRule="exact"/>
        <w:ind w:right="442"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5"/>
        <w:spacing w:line="576" w:lineRule="exact"/>
        <w:ind w:firstLine="640" w:firstLineChars="200"/>
        <w:jc w:val="both"/>
        <w:rPr>
          <w:rFonts w:ascii="仿宋_GB2312" w:eastAsia="仿宋_GB2312"/>
          <w:sz w:val="32"/>
          <w:szCs w:val="32"/>
        </w:rPr>
      </w:pPr>
      <w:r>
        <w:rPr>
          <w:rFonts w:hint="eastAsia" w:ascii="仿宋_GB2312" w:eastAsia="仿宋_GB2312"/>
          <w:sz w:val="32"/>
          <w:szCs w:val="32"/>
        </w:rPr>
        <w:t xml:space="preserve">2.年初结转和结余：指以前年度尚未完成、结转到本年按有关规定继续使用的资金。 </w:t>
      </w:r>
    </w:p>
    <w:p>
      <w:pPr>
        <w:pStyle w:val="25"/>
        <w:spacing w:line="576" w:lineRule="exact"/>
        <w:ind w:firstLine="640" w:firstLineChars="200"/>
        <w:jc w:val="both"/>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hAnsi="仿宋_GB2312" w:eastAsia="仿宋_GB2312" w:cs="仿宋_GB2312"/>
          <w:sz w:val="32"/>
          <w:szCs w:val="32"/>
        </w:rPr>
        <w:t>一般公共服务支出（类）201政府办公厅（室）及相关机构事务（款）03行政运行（项）01：指反映行政单位（包括实行公务员管理的事业单位）的基本支出。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一般行政管理事务（项）02：指反映行政单位（包括实行公务员管理的事业单位）未单独设置项级科目的其他项目支出。</w:t>
      </w:r>
    </w:p>
    <w:p>
      <w:pPr>
        <w:pStyle w:val="14"/>
        <w:spacing w:line="576" w:lineRule="exact"/>
        <w:ind w:left="0" w:leftChars="0"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一般公共服务支出（类）201政府办公厅（室）及相关机构事务（款）03机关服务</w:t>
      </w:r>
      <w:r>
        <w:rPr>
          <w:rFonts w:hint="eastAsia" w:ascii="仿宋_GB2312" w:eastAsia="仿宋_GB2312"/>
          <w:color w:val="000000"/>
          <w:sz w:val="32"/>
          <w:szCs w:val="32"/>
        </w:rPr>
        <w:t>（项）03：指反映行政单位（包括实行公务员管理的事业单位）提供事业后勤服务的各类后勤服务中心、医务室等附属事业单位支出。其他事业单位支出，凡单独设置了项级科目的，在单独设置的项级科目中反映。未单独设项级科目的，在“其他”项级科目中反映。</w:t>
      </w:r>
    </w:p>
    <w:p>
      <w:pPr>
        <w:rPr>
          <w:rFonts w:hint="default" w:eastAsia="仿宋_GB2312"/>
          <w:lang w:val="en-US" w:eastAsia="zh-CN"/>
        </w:rPr>
      </w:pPr>
      <w:r>
        <w:rPr>
          <w:rFonts w:hint="eastAsia" w:ascii="仿宋_GB2312" w:eastAsia="仿宋_GB2312"/>
          <w:color w:val="000000"/>
          <w:sz w:val="32"/>
          <w:szCs w:val="32"/>
          <w:lang w:val="en-US" w:eastAsia="zh-CN"/>
        </w:rPr>
        <w:t xml:space="preserve">    6.</w:t>
      </w:r>
      <w:r>
        <w:rPr>
          <w:rFonts w:hint="eastAsia" w:ascii="仿宋_GB2312" w:hAnsi="仿宋_GB2312" w:eastAsia="仿宋_GB2312" w:cs="仿宋_GB2312"/>
          <w:kern w:val="0"/>
          <w:sz w:val="32"/>
          <w:szCs w:val="32"/>
        </w:rPr>
        <w:t>一般公共服务支出（类）201政府办公厅（室）及相关机构事务（款）03 信访事务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08：反映各级政府用于接待群众来信来访方面的支出。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一般公共服务支出（类）201政府办公厅（室）及相关机构事务（款）03其他政府办公厅（室）及相关机构事务支出</w:t>
      </w:r>
      <w:r>
        <w:rPr>
          <w:rFonts w:hint="eastAsia" w:ascii="仿宋_GB2312" w:eastAsia="仿宋_GB2312"/>
          <w:color w:val="000000"/>
          <w:sz w:val="32"/>
          <w:szCs w:val="32"/>
        </w:rPr>
        <w:t>（项）99：反映除上述项目以外的其他政府</w:t>
      </w:r>
      <w:r>
        <w:rPr>
          <w:rFonts w:hint="eastAsia" w:ascii="仿宋_GB2312" w:eastAsia="仿宋_GB2312"/>
          <w:color w:val="000000"/>
          <w:sz w:val="32"/>
          <w:szCs w:val="32"/>
          <w:lang w:eastAsia="zh-CN"/>
        </w:rPr>
        <w:t>办</w:t>
      </w:r>
      <w:bookmarkStart w:id="172" w:name="_GoBack"/>
      <w:bookmarkEnd w:id="172"/>
      <w:r>
        <w:rPr>
          <w:rFonts w:hint="eastAsia" w:ascii="仿宋_GB2312" w:hAnsi="仿宋_GB2312" w:eastAsia="仿宋_GB2312" w:cs="仿宋_GB2312"/>
          <w:kern w:val="0"/>
          <w:sz w:val="32"/>
          <w:szCs w:val="32"/>
        </w:rPr>
        <w:t>公厅（室）及相关机构事务支出。</w:t>
      </w:r>
    </w:p>
    <w:p>
      <w:pPr>
        <w:spacing w:line="576" w:lineRule="exact"/>
        <w:ind w:firstLine="640" w:firstLineChars="200"/>
        <w:rPr>
          <w:rStyle w:val="17"/>
          <w:rFonts w:ascii="仿宋_GB2312" w:eastAsia="仿宋_GB2312"/>
          <w:b w:val="0"/>
          <w:color w:val="000000"/>
          <w:sz w:val="32"/>
          <w:szCs w:val="32"/>
        </w:rPr>
      </w:pPr>
      <w:r>
        <w:rPr>
          <w:rFonts w:hint="eastAsia" w:ascii="仿宋_GB2312" w:eastAsia="仿宋_GB2312"/>
          <w:sz w:val="32"/>
          <w:szCs w:val="32"/>
          <w:lang w:val="en-US" w:eastAsia="zh-CN"/>
        </w:rPr>
        <w:t>8</w:t>
      </w:r>
      <w:r>
        <w:rPr>
          <w:rFonts w:hint="eastAsia" w:ascii="仿宋_GB2312" w:eastAsia="仿宋_GB2312"/>
          <w:sz w:val="32"/>
          <w:szCs w:val="32"/>
        </w:rPr>
        <w:t xml:space="preserve">. </w:t>
      </w:r>
      <w:r>
        <w:rPr>
          <w:rFonts w:hint="eastAsia" w:ascii="仿宋_GB2312" w:hAnsi="仿宋_GB2312" w:eastAsia="仿宋_GB2312" w:cs="仿宋_GB2312"/>
          <w:kern w:val="0"/>
          <w:sz w:val="32"/>
          <w:szCs w:val="32"/>
        </w:rPr>
        <w:t>一般公共服务支出（类）201纪检监察事务（款）11一般行政管理事务（项）02</w:t>
      </w:r>
      <w:r>
        <w:rPr>
          <w:rStyle w:val="17"/>
          <w:rFonts w:hint="eastAsia" w:ascii="仿宋_GB2312" w:eastAsia="仿宋_GB2312"/>
          <w:b w:val="0"/>
          <w:color w:val="000000"/>
          <w:sz w:val="32"/>
          <w:szCs w:val="32"/>
        </w:rPr>
        <w:t xml:space="preserve">：反映行政单位（包括实行公务员管理的事业单位）未单独设置项目科目的其他项目支出。 </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hAnsi="仿宋_GB2312" w:eastAsia="仿宋_GB2312" w:cs="仿宋_GB2312"/>
          <w:kern w:val="0"/>
          <w:sz w:val="32"/>
          <w:szCs w:val="32"/>
        </w:rPr>
        <w:t>.一般公共服务（类）201市场监督管理事务（款）38</w:t>
      </w:r>
      <w:r>
        <w:rPr>
          <w:rFonts w:hint="eastAsia" w:ascii="仿宋_GB2312" w:eastAsia="仿宋_GB2312"/>
          <w:color w:val="000000"/>
          <w:sz w:val="32"/>
          <w:szCs w:val="32"/>
        </w:rPr>
        <w:t>其他市场监督管理事务（项）99：</w:t>
      </w:r>
      <w:r>
        <w:rPr>
          <w:rFonts w:hint="eastAsia" w:ascii="仿宋_GB2312" w:eastAsia="仿宋_GB2312"/>
          <w:sz w:val="32"/>
          <w:szCs w:val="32"/>
        </w:rPr>
        <w:t>反映用于除上述项目以外其他市场监督管理事务方面的支出。</w:t>
      </w:r>
    </w:p>
    <w:p>
      <w:pPr>
        <w:spacing w:line="576" w:lineRule="exact"/>
        <w:ind w:firstLine="640" w:firstLineChars="200"/>
        <w:rPr>
          <w:rFonts w:hint="default" w:eastAsia="仿宋_GB2312"/>
          <w:lang w:val="en-US" w:eastAsia="zh-CN"/>
        </w:rPr>
      </w:pPr>
      <w:r>
        <w:rPr>
          <w:rFonts w:hint="eastAsia"/>
          <w:sz w:val="32"/>
          <w:szCs w:val="32"/>
          <w:lang w:val="en-US" w:eastAsia="zh-CN"/>
        </w:rPr>
        <w:t>10.</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其他一般公共服务支出（款）99其他一般公共服务支出（项）99：反映除上述项目</w:t>
      </w:r>
      <w:r>
        <w:rPr>
          <w:rFonts w:hint="eastAsia" w:ascii="仿宋_GB2312" w:eastAsia="仿宋_GB2312"/>
          <w:color w:val="000000"/>
          <w:sz w:val="32"/>
          <w:szCs w:val="32"/>
          <w:lang w:val="en-US" w:eastAsia="zh-CN"/>
        </w:rPr>
        <w:t>以外的其他</w:t>
      </w:r>
      <w:r>
        <w:rPr>
          <w:rFonts w:hint="eastAsia" w:ascii="仿宋_GB2312" w:eastAsia="仿宋_GB2312"/>
          <w:color w:val="000000"/>
          <w:sz w:val="32"/>
          <w:szCs w:val="32"/>
        </w:rPr>
        <w:t>一般公共服务支出。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.公共安全支出（类）204</w:t>
      </w:r>
      <w:r>
        <w:rPr>
          <w:rFonts w:hint="eastAsia" w:ascii="仿宋_GB2312" w:eastAsia="仿宋_GB2312"/>
          <w:color w:val="000000"/>
          <w:sz w:val="32"/>
          <w:szCs w:val="32"/>
          <w:lang w:val="en-US" w:eastAsia="zh-CN"/>
        </w:rPr>
        <w:t>司法</w:t>
      </w:r>
      <w:r>
        <w:rPr>
          <w:rFonts w:hint="eastAsia" w:ascii="仿宋_GB2312" w:eastAsia="仿宋_GB2312"/>
          <w:color w:val="000000"/>
          <w:sz w:val="32"/>
          <w:szCs w:val="32"/>
        </w:rPr>
        <w:t>（款）0</w:t>
      </w:r>
      <w:r>
        <w:rPr>
          <w:rFonts w:hint="eastAsia" w:ascii="仿宋_GB2312" w:eastAsia="仿宋_GB2312"/>
          <w:color w:val="000000"/>
          <w:sz w:val="32"/>
          <w:szCs w:val="32"/>
          <w:lang w:val="en-US" w:eastAsia="zh-CN"/>
        </w:rPr>
        <w:t>6普法宣传</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w:t>
      </w:r>
      <w:r>
        <w:rPr>
          <w:rFonts w:hint="eastAsia" w:ascii="仿宋_GB2312" w:hAnsi="仿宋_GB2312" w:eastAsia="仿宋_GB2312" w:cs="仿宋_GB2312"/>
          <w:color w:val="000000"/>
          <w:sz w:val="32"/>
          <w:szCs w:val="32"/>
        </w:rPr>
        <w:t>指反映</w:t>
      </w:r>
      <w:r>
        <w:rPr>
          <w:rFonts w:hint="eastAsia" w:ascii="仿宋_GB2312" w:hAnsi="仿宋_GB2312" w:eastAsia="仿宋_GB2312" w:cs="仿宋_GB2312"/>
          <w:color w:val="000000"/>
          <w:sz w:val="32"/>
          <w:szCs w:val="32"/>
          <w:lang w:val="en-US" w:eastAsia="zh-CN"/>
        </w:rPr>
        <w:t>各级司法行政部门用于组织各种谋体宣传、普法装备与设施、宣传资料、对外宣传、法制作品的宣读评审等方面的支出</w:t>
      </w:r>
      <w:r>
        <w:rPr>
          <w:rFonts w:hint="eastAsia" w:ascii="仿宋_GB2312" w:hAnsi="仿宋_GB2312" w:eastAsia="仿宋_GB2312" w:cs="仿宋_GB2312"/>
          <w:color w:val="000000"/>
          <w:sz w:val="32"/>
          <w:szCs w:val="32"/>
        </w:rPr>
        <w:t>。</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.社会保障和就业支出（类）208行政事业单位</w:t>
      </w:r>
      <w:r>
        <w:rPr>
          <w:rFonts w:hint="eastAsia" w:ascii="仿宋_GB2312" w:eastAsia="仿宋_GB2312"/>
          <w:color w:val="000000"/>
          <w:sz w:val="32"/>
          <w:szCs w:val="32"/>
          <w:lang w:val="en-US" w:eastAsia="zh-CN"/>
        </w:rPr>
        <w:t>养老支出</w:t>
      </w:r>
      <w:r>
        <w:rPr>
          <w:rFonts w:hint="eastAsia" w:ascii="仿宋_GB2312" w:eastAsia="仿宋_GB2312"/>
          <w:color w:val="000000"/>
          <w:sz w:val="32"/>
          <w:szCs w:val="32"/>
        </w:rPr>
        <w:t>（款）05机关事业单位基本养老保险缴费支出（项）05：指反映机关事业单位实施养老保险制度由单位缴纳的基本养老保险费支出。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.社会保障和就业支出（类）208行政事业单位</w:t>
      </w:r>
      <w:r>
        <w:rPr>
          <w:rFonts w:hint="eastAsia" w:ascii="仿宋_GB2312" w:eastAsia="仿宋_GB2312"/>
          <w:color w:val="000000"/>
          <w:sz w:val="32"/>
          <w:szCs w:val="32"/>
          <w:lang w:val="en-US" w:eastAsia="zh-CN"/>
        </w:rPr>
        <w:t>养老支出</w:t>
      </w:r>
      <w:r>
        <w:rPr>
          <w:rFonts w:hint="eastAsia" w:ascii="仿宋_GB2312" w:eastAsia="仿宋_GB2312"/>
          <w:color w:val="000000"/>
          <w:sz w:val="32"/>
          <w:szCs w:val="32"/>
        </w:rPr>
        <w:t>（款）05机关事业单位职业年金缴费支出（项）06：指反映机关事业单位实施养老保险制度由单位实际缴纳的职业年金支出。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.卫生健康支出（类）210公共卫生（款）04</w:t>
      </w:r>
      <w:r>
        <w:rPr>
          <w:rFonts w:hint="eastAsia" w:ascii="仿宋_GB2312" w:eastAsia="仿宋_GB2312"/>
          <w:color w:val="000000"/>
          <w:sz w:val="32"/>
          <w:szCs w:val="32"/>
          <w:lang w:val="en-US" w:eastAsia="zh-CN"/>
        </w:rPr>
        <w:t>其他</w:t>
      </w:r>
      <w:r>
        <w:rPr>
          <w:rFonts w:hint="eastAsia" w:ascii="仿宋_GB2312" w:eastAsia="仿宋_GB2312"/>
          <w:color w:val="000000"/>
          <w:sz w:val="32"/>
          <w:szCs w:val="32"/>
        </w:rPr>
        <w:t>公共卫生</w:t>
      </w:r>
      <w:r>
        <w:rPr>
          <w:rFonts w:hint="eastAsia" w:ascii="仿宋_GB2312" w:eastAsia="仿宋_GB2312"/>
          <w:color w:val="000000"/>
          <w:sz w:val="32"/>
          <w:szCs w:val="32"/>
          <w:lang w:val="en-US" w:eastAsia="zh-CN"/>
        </w:rPr>
        <w:t>支出</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w:t>
      </w:r>
      <w:r>
        <w:rPr>
          <w:rFonts w:hint="eastAsia" w:ascii="仿宋_GB2312" w:eastAsia="仿宋_GB2312"/>
          <w:sz w:val="32"/>
          <w:szCs w:val="32"/>
        </w:rPr>
        <w:t>反映</w:t>
      </w:r>
      <w:r>
        <w:rPr>
          <w:rFonts w:hint="eastAsia" w:ascii="仿宋_GB2312" w:eastAsia="仿宋_GB2312"/>
          <w:sz w:val="32"/>
          <w:szCs w:val="32"/>
          <w:lang w:val="en-US" w:eastAsia="zh-CN"/>
        </w:rPr>
        <w:t>除上述项目以外的其他用于</w:t>
      </w:r>
      <w:r>
        <w:rPr>
          <w:rFonts w:hint="eastAsia" w:ascii="仿宋_GB2312" w:eastAsia="仿宋_GB2312"/>
          <w:sz w:val="32"/>
          <w:szCs w:val="32"/>
        </w:rPr>
        <w:t>公共卫生</w:t>
      </w:r>
      <w:r>
        <w:rPr>
          <w:rFonts w:hint="eastAsia" w:ascii="仿宋_GB2312" w:eastAsia="仿宋_GB2312"/>
          <w:sz w:val="32"/>
          <w:szCs w:val="32"/>
          <w:lang w:val="en-US" w:eastAsia="zh-CN"/>
        </w:rPr>
        <w:t>方面</w:t>
      </w:r>
      <w:r>
        <w:rPr>
          <w:rFonts w:hint="eastAsia" w:ascii="仿宋_GB2312" w:eastAsia="仿宋_GB2312"/>
          <w:sz w:val="32"/>
          <w:szCs w:val="32"/>
        </w:rPr>
        <w:t>的支出</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.卫生健康支出（类）210行政事业单位医疗（款）11事业单位医疗（项）0</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sz w:val="32"/>
          <w:szCs w:val="32"/>
        </w:rPr>
        <w:t>指反映</w:t>
      </w:r>
      <w:r>
        <w:rPr>
          <w:rFonts w:hint="eastAsia" w:ascii="仿宋_GB2312" w:eastAsia="仿宋_GB2312"/>
          <w:color w:val="000000"/>
          <w:sz w:val="32"/>
          <w:szCs w:val="32"/>
        </w:rPr>
        <w:t>财政部门安排的</w:t>
      </w:r>
      <w:r>
        <w:rPr>
          <w:rFonts w:hint="eastAsia" w:ascii="仿宋_GB2312" w:eastAsia="仿宋_GB2312"/>
          <w:color w:val="000000"/>
          <w:sz w:val="32"/>
          <w:szCs w:val="32"/>
          <w:lang w:val="en-US" w:eastAsia="zh-CN"/>
        </w:rPr>
        <w:t>事业</w:t>
      </w:r>
      <w:r>
        <w:rPr>
          <w:rFonts w:hint="eastAsia" w:ascii="仿宋_GB2312" w:eastAsia="仿宋_GB2312"/>
          <w:color w:val="000000"/>
          <w:sz w:val="32"/>
          <w:szCs w:val="32"/>
        </w:rPr>
        <w:t>单位基本医疗保险缴费经费，未参加医疗保险的</w:t>
      </w:r>
      <w:r>
        <w:rPr>
          <w:rFonts w:hint="eastAsia" w:ascii="仿宋_GB2312" w:eastAsia="仿宋_GB2312"/>
          <w:color w:val="000000"/>
          <w:sz w:val="32"/>
          <w:szCs w:val="32"/>
          <w:lang w:val="en-US" w:eastAsia="zh-CN"/>
        </w:rPr>
        <w:t>事业</w:t>
      </w:r>
      <w:r>
        <w:rPr>
          <w:rFonts w:hint="eastAsia" w:ascii="仿宋_GB2312" w:eastAsia="仿宋_GB2312"/>
          <w:color w:val="000000"/>
          <w:sz w:val="32"/>
          <w:szCs w:val="32"/>
        </w:rPr>
        <w:t>单位的公费医疗经费，按国家规定享受离休人员待遇的医疗经费。</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.城乡社区支出（类）212城乡社区管理事务（款）01城管执法（项）0</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反映</w:t>
      </w:r>
      <w:r>
        <w:rPr>
          <w:rFonts w:hint="eastAsia" w:ascii="仿宋_GB2312" w:eastAsia="仿宋_GB2312"/>
          <w:color w:val="000000"/>
          <w:sz w:val="32"/>
          <w:szCs w:val="32"/>
        </w:rPr>
        <w:t>城市综合管理执法、加强城市市容和环境卫生管理等方面支出。</w:t>
      </w:r>
    </w:p>
    <w:p>
      <w:pPr>
        <w:spacing w:line="576" w:lineRule="exact"/>
        <w:ind w:firstLine="640" w:firstLineChars="200"/>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.城乡社区支出（类）212城乡社区</w:t>
      </w:r>
      <w:r>
        <w:rPr>
          <w:rFonts w:hint="eastAsia" w:ascii="仿宋_GB2312" w:eastAsia="仿宋_GB2312"/>
          <w:color w:val="000000"/>
          <w:sz w:val="32"/>
          <w:szCs w:val="32"/>
          <w:lang w:val="en-US" w:eastAsia="zh-CN"/>
        </w:rPr>
        <w:t>公共设施</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03小城镇基础设施建设</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反映用于小城镇路、气、水、电等基础建设</w:t>
      </w:r>
      <w:r>
        <w:rPr>
          <w:rFonts w:hint="eastAsia" w:ascii="仿宋_GB2312" w:eastAsia="仿宋_GB2312"/>
          <w:color w:val="000000"/>
          <w:sz w:val="32"/>
          <w:szCs w:val="32"/>
        </w:rPr>
        <w:t>方面</w:t>
      </w:r>
      <w:r>
        <w:rPr>
          <w:rFonts w:hint="eastAsia" w:ascii="仿宋_GB2312" w:eastAsia="仿宋_GB2312"/>
          <w:color w:val="000000"/>
          <w:sz w:val="32"/>
          <w:szCs w:val="32"/>
          <w:lang w:val="en-US" w:eastAsia="zh-CN"/>
        </w:rPr>
        <w:t>的</w:t>
      </w:r>
      <w:r>
        <w:rPr>
          <w:rFonts w:hint="eastAsia" w:ascii="仿宋_GB2312" w:eastAsia="仿宋_GB2312"/>
          <w:color w:val="000000"/>
          <w:sz w:val="32"/>
          <w:szCs w:val="32"/>
        </w:rPr>
        <w:t>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.城乡社区支出（类）212城乡社区环境卫生（款）05城乡社区环境卫生（项）01：反映城乡社区道路清扫、垃圾清运与处理、公厕建设与维护、园林绿化等方面的支出。</w:t>
      </w:r>
    </w:p>
    <w:p>
      <w:pPr>
        <w:spacing w:line="576" w:lineRule="exact"/>
        <w:ind w:firstLine="640" w:firstLineChars="200"/>
        <w:rPr>
          <w:rFonts w:ascii="仿宋_GB2312" w:eastAsia="仿宋_GB2312"/>
          <w:sz w:val="32"/>
          <w:szCs w:val="32"/>
          <w:highlight w:val="none"/>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w:t>
      </w:r>
      <w:r>
        <w:rPr>
          <w:rFonts w:hint="eastAsia" w:ascii="仿宋_GB2312" w:eastAsia="仿宋_GB2312"/>
          <w:color w:val="000000"/>
          <w:sz w:val="32"/>
          <w:szCs w:val="32"/>
          <w:highlight w:val="none"/>
        </w:rPr>
        <w:t>城乡社区支出（类）212</w:t>
      </w:r>
      <w:r>
        <w:rPr>
          <w:rFonts w:hint="default" w:ascii="仿宋_GB2312" w:eastAsia="仿宋_GB2312"/>
          <w:color w:val="000000"/>
          <w:sz w:val="32"/>
          <w:szCs w:val="32"/>
          <w:highlight w:val="none"/>
        </w:rPr>
        <w:t>国有土地使用权出让收入安排的支出</w:t>
      </w:r>
      <w:r>
        <w:rPr>
          <w:rFonts w:hint="eastAsia" w:ascii="仿宋_GB2312" w:eastAsia="仿宋_GB2312"/>
          <w:color w:val="000000"/>
          <w:sz w:val="32"/>
          <w:szCs w:val="32"/>
          <w:highlight w:val="none"/>
        </w:rPr>
        <w:t>（款）</w:t>
      </w:r>
      <w:r>
        <w:rPr>
          <w:rFonts w:hint="default" w:ascii="仿宋_GB2312" w:eastAsia="仿宋_GB2312"/>
          <w:color w:val="000000"/>
          <w:sz w:val="32"/>
          <w:szCs w:val="32"/>
          <w:highlight w:val="none"/>
        </w:rPr>
        <w:t>08</w:t>
      </w:r>
      <w:r>
        <w:rPr>
          <w:rFonts w:hint="eastAsia" w:ascii="仿宋_GB2312" w:eastAsia="仿宋_GB2312"/>
          <w:color w:val="000000"/>
          <w:sz w:val="32"/>
          <w:szCs w:val="32"/>
          <w:highlight w:val="none"/>
        </w:rPr>
        <w:t xml:space="preserve"> </w:t>
      </w:r>
      <w:r>
        <w:rPr>
          <w:rFonts w:hint="default" w:ascii="仿宋_GB2312" w:eastAsia="仿宋_GB2312"/>
          <w:color w:val="000000"/>
          <w:sz w:val="32"/>
          <w:szCs w:val="32"/>
          <w:highlight w:val="none"/>
        </w:rPr>
        <w:t xml:space="preserve"> 其他国有土地使用权出让收入安排的支出</w:t>
      </w:r>
      <w:r>
        <w:rPr>
          <w:rFonts w:hint="eastAsia" w:ascii="仿宋_GB2312" w:eastAsia="仿宋_GB2312"/>
          <w:color w:val="000000"/>
          <w:sz w:val="32"/>
          <w:szCs w:val="32"/>
          <w:highlight w:val="none"/>
        </w:rPr>
        <w:t>（项）</w:t>
      </w:r>
      <w:r>
        <w:rPr>
          <w:rFonts w:hint="default" w:ascii="仿宋_GB2312" w:eastAsia="仿宋_GB2312"/>
          <w:color w:val="000000"/>
          <w:sz w:val="32"/>
          <w:szCs w:val="32"/>
          <w:highlight w:val="none"/>
        </w:rPr>
        <w:t>99</w:t>
      </w:r>
      <w:r>
        <w:rPr>
          <w:rFonts w:hint="eastAsia" w:ascii="仿宋_GB2312" w:eastAsia="仿宋_GB2312"/>
          <w:color w:val="000000"/>
          <w:sz w:val="32"/>
          <w:szCs w:val="32"/>
          <w:highlight w:val="none"/>
        </w:rPr>
        <w:t>：</w:t>
      </w:r>
      <w:r>
        <w:rPr>
          <w:rFonts w:hint="eastAsia" w:ascii="仿宋_GB2312" w:eastAsia="仿宋_GB2312"/>
          <w:sz w:val="32"/>
          <w:szCs w:val="32"/>
          <w:highlight w:val="none"/>
        </w:rPr>
        <w:t>反映</w:t>
      </w:r>
      <w:r>
        <w:rPr>
          <w:rFonts w:hint="default" w:ascii="仿宋_GB2312" w:eastAsia="仿宋_GB2312"/>
          <w:sz w:val="32"/>
          <w:szCs w:val="32"/>
          <w:highlight w:val="none"/>
        </w:rPr>
        <w:t>园区建设发展土地及拆迁支出</w:t>
      </w:r>
      <w:r>
        <w:rPr>
          <w:rFonts w:hint="eastAsia" w:ascii="仿宋_GB2312" w:eastAsia="仿宋_GB2312"/>
          <w:sz w:val="32"/>
          <w:szCs w:val="32"/>
          <w:highlight w:val="none"/>
        </w:rPr>
        <w:t>。</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农林水支出（类）213水利（款）03防汛（项）14：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.农林水支出（类）213</w:t>
      </w:r>
      <w:r>
        <w:rPr>
          <w:rFonts w:hint="eastAsia" w:ascii="仿宋_GB2312" w:eastAsia="仿宋_GB2312"/>
          <w:color w:val="000000"/>
          <w:sz w:val="32"/>
          <w:szCs w:val="32"/>
          <w:lang w:val="en-US" w:eastAsia="zh-CN"/>
        </w:rPr>
        <w:t>脱贫衔接乡村振兴</w:t>
      </w:r>
      <w:r>
        <w:rPr>
          <w:rFonts w:hint="eastAsia" w:ascii="仿宋_GB2312" w:eastAsia="仿宋_GB2312"/>
          <w:color w:val="000000"/>
          <w:sz w:val="32"/>
          <w:szCs w:val="32"/>
        </w:rPr>
        <w:t>（款）0</w:t>
      </w:r>
      <w:r>
        <w:rPr>
          <w:rFonts w:hint="eastAsia" w:ascii="仿宋_GB2312" w:eastAsia="仿宋_GB2312"/>
          <w:color w:val="000000"/>
          <w:sz w:val="32"/>
          <w:szCs w:val="32"/>
          <w:lang w:val="en-US" w:eastAsia="zh-CN"/>
        </w:rPr>
        <w:t>5其他巩固脱贫衔接乡村振兴支出</w:t>
      </w:r>
      <w:r>
        <w:rPr>
          <w:rFonts w:hint="eastAsia" w:ascii="仿宋_GB2312" w:eastAsia="仿宋_GB2312"/>
          <w:color w:val="000000"/>
          <w:sz w:val="32"/>
          <w:szCs w:val="32"/>
        </w:rPr>
        <w:t>（项）05：反映</w:t>
      </w:r>
      <w:r>
        <w:rPr>
          <w:rFonts w:hint="eastAsia" w:ascii="仿宋_GB2312" w:eastAsia="仿宋_GB2312"/>
          <w:color w:val="000000"/>
          <w:sz w:val="32"/>
          <w:szCs w:val="32"/>
          <w:lang w:val="en-US" w:eastAsia="zh-CN"/>
        </w:rPr>
        <w:t>除上述项目以外其他用于巩固拓展脱贫攻坚成果同乡村振兴有效衔接方面的支出</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.农林水支出（类）213农村综合改革（款）07对村</w:t>
      </w:r>
      <w:r>
        <w:rPr>
          <w:rFonts w:hint="eastAsia" w:ascii="仿宋_GB2312" w:eastAsia="仿宋_GB2312"/>
          <w:color w:val="000000"/>
          <w:sz w:val="32"/>
          <w:szCs w:val="32"/>
          <w:lang w:val="en-US" w:eastAsia="zh-CN"/>
        </w:rPr>
        <w:t>民委员会和村党支部的</w:t>
      </w:r>
      <w:r>
        <w:rPr>
          <w:rFonts w:hint="eastAsia" w:ascii="仿宋_GB2312" w:eastAsia="仿宋_GB2312"/>
          <w:color w:val="000000"/>
          <w:sz w:val="32"/>
          <w:szCs w:val="32"/>
        </w:rPr>
        <w:t>补助（项）0</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：反映</w:t>
      </w:r>
      <w:r>
        <w:rPr>
          <w:rFonts w:hint="eastAsia" w:ascii="仿宋_GB2312" w:eastAsia="仿宋_GB2312"/>
          <w:color w:val="000000"/>
          <w:sz w:val="32"/>
          <w:szCs w:val="32"/>
          <w:lang w:val="en-US" w:eastAsia="zh-CN"/>
        </w:rPr>
        <w:t>各级财政对村民委员会和村党支部的补助支出，以及支持建立县级基本财力保障机制安排的村级组织运转奖补资金</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.交通运输支出（类）214公路水路运输（款）01公路和运输安全（项）10：指反映公路和运输安全支出。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.住房保障支出（类）221住房改革支出（款）02住房公积金（项）01：指反映行政事业单位按人力资源和社会保障部、财政部规定的基本工资和津贴补贴以及规定比例为职工缴纳的住房公积金。</w:t>
      </w:r>
    </w:p>
    <w:p>
      <w:pPr>
        <w:spacing w:line="576" w:lineRule="exact"/>
        <w:ind w:firstLine="640" w:firstLineChars="200"/>
        <w:rPr>
          <w:rFonts w:hint="eastAsia" w:ascii="仿宋_GB2312" w:eastAsia="仿宋_GB2312"/>
          <w:color w:val="000000"/>
          <w:sz w:val="32"/>
          <w:szCs w:val="32"/>
        </w:rPr>
      </w:pPr>
      <w:r>
        <w:rPr>
          <w:rFonts w:hint="eastAsia" w:ascii="仿宋" w:hAnsi="仿宋" w:eastAsia="仿宋" w:cs="仿宋"/>
          <w:color w:val="000000"/>
          <w:sz w:val="32"/>
          <w:szCs w:val="32"/>
          <w:lang w:val="en-US" w:eastAsia="zh-CN"/>
        </w:rPr>
        <w:t>25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灾害</w:t>
      </w:r>
      <w:r>
        <w:rPr>
          <w:rFonts w:hint="eastAsia" w:ascii="仿宋" w:hAnsi="仿宋" w:eastAsia="仿宋" w:cs="仿宋"/>
          <w:color w:val="000000"/>
          <w:sz w:val="32"/>
          <w:szCs w:val="32"/>
        </w:rPr>
        <w:t>防治及应急管理支出（类）224</w:t>
      </w:r>
      <w:r>
        <w:rPr>
          <w:rFonts w:hint="eastAsia" w:ascii="仿宋_GB2312" w:eastAsia="仿宋_GB2312"/>
          <w:color w:val="000000"/>
          <w:sz w:val="32"/>
          <w:szCs w:val="32"/>
        </w:rPr>
        <w:t>应急管理事务（款）01安全监管（项）06：反映安全生产</w:t>
      </w:r>
      <w:r>
        <w:rPr>
          <w:rFonts w:hint="eastAsia" w:ascii="仿宋_GB2312" w:eastAsia="仿宋_GB2312"/>
          <w:color w:val="000000"/>
          <w:sz w:val="32"/>
          <w:szCs w:val="32"/>
          <w:lang w:val="en-US" w:eastAsia="zh-CN"/>
        </w:rPr>
        <w:t>综合监督管理和工贸行业安全生产监督管理等</w:t>
      </w:r>
      <w:r>
        <w:rPr>
          <w:rFonts w:hint="eastAsia" w:ascii="仿宋_GB2312" w:eastAsia="仿宋_GB2312"/>
          <w:color w:val="000000"/>
          <w:sz w:val="32"/>
          <w:szCs w:val="32"/>
        </w:rPr>
        <w:t>方面的支出。</w:t>
      </w:r>
    </w:p>
    <w:p>
      <w:pPr>
        <w:pStyle w:val="2"/>
        <w:ind w:firstLine="640" w:firstLineChars="200"/>
      </w:pPr>
      <w:r>
        <w:rPr>
          <w:rFonts w:hint="eastAsia" w:ascii="仿宋" w:hAnsi="仿宋" w:eastAsia="仿宋" w:cs="仿宋"/>
          <w:color w:val="000000"/>
          <w:sz w:val="32"/>
          <w:szCs w:val="32"/>
          <w:lang w:val="en-US" w:eastAsia="zh-CN"/>
        </w:rPr>
        <w:t>26</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灾害</w:t>
      </w:r>
      <w:r>
        <w:rPr>
          <w:rFonts w:hint="eastAsia" w:ascii="仿宋" w:hAnsi="仿宋" w:eastAsia="仿宋" w:cs="仿宋"/>
          <w:color w:val="000000"/>
          <w:sz w:val="32"/>
          <w:szCs w:val="32"/>
        </w:rPr>
        <w:t>防治及应急管理支出（类）224</w:t>
      </w:r>
      <w:r>
        <w:rPr>
          <w:rFonts w:hint="eastAsia" w:ascii="仿宋_GB2312" w:eastAsia="仿宋_GB2312"/>
          <w:color w:val="000000"/>
          <w:sz w:val="32"/>
          <w:szCs w:val="32"/>
        </w:rPr>
        <w:t>应急管理事务（款）01</w:t>
      </w:r>
      <w:r>
        <w:rPr>
          <w:rFonts w:hint="eastAsia"/>
          <w:color w:val="000000"/>
          <w:sz w:val="32"/>
          <w:szCs w:val="32"/>
          <w:lang w:val="en-US" w:eastAsia="zh-CN"/>
        </w:rPr>
        <w:t>应急救援</w:t>
      </w:r>
      <w:r>
        <w:rPr>
          <w:rFonts w:hint="eastAsia" w:ascii="仿宋_GB2312" w:eastAsia="仿宋_GB2312"/>
          <w:color w:val="000000"/>
          <w:sz w:val="32"/>
          <w:szCs w:val="32"/>
        </w:rPr>
        <w:t>（项）</w:t>
      </w:r>
      <w:r>
        <w:rPr>
          <w:rFonts w:hint="eastAsia"/>
          <w:color w:val="000000"/>
          <w:sz w:val="32"/>
          <w:szCs w:val="32"/>
          <w:lang w:val="en-US" w:eastAsia="zh-CN"/>
        </w:rPr>
        <w:t>08</w:t>
      </w:r>
      <w:r>
        <w:rPr>
          <w:rFonts w:hint="eastAsia" w:ascii="仿宋_GB2312" w:eastAsia="仿宋_GB2312"/>
          <w:color w:val="000000"/>
          <w:sz w:val="32"/>
          <w:szCs w:val="32"/>
        </w:rPr>
        <w:t>：反映</w:t>
      </w:r>
      <w:r>
        <w:rPr>
          <w:rFonts w:hint="eastAsia"/>
          <w:color w:val="000000"/>
          <w:sz w:val="32"/>
          <w:szCs w:val="32"/>
          <w:lang w:val="en-US" w:eastAsia="zh-CN"/>
        </w:rPr>
        <w:t>安全生产、自然灾害应急救援</w:t>
      </w:r>
      <w:r>
        <w:rPr>
          <w:rFonts w:hint="eastAsia" w:ascii="仿宋_GB2312" w:eastAsia="仿宋_GB2312"/>
          <w:color w:val="000000"/>
          <w:sz w:val="32"/>
          <w:szCs w:val="32"/>
        </w:rPr>
        <w:t>方面的支出</w:t>
      </w:r>
    </w:p>
    <w:p>
      <w:pPr>
        <w:spacing w:line="576" w:lineRule="exact"/>
        <w:ind w:firstLine="640" w:firstLineChars="200"/>
        <w:rPr>
          <w:rFonts w:ascii="仿宋_GB2312" w:eastAsia="仿宋_GB2312"/>
          <w:color w:val="000000"/>
          <w:sz w:val="32"/>
          <w:szCs w:val="32"/>
        </w:rPr>
      </w:pPr>
      <w:r>
        <w:rPr>
          <w:rFonts w:hint="eastAsia" w:ascii="仿宋" w:hAnsi="仿宋" w:eastAsia="仿宋" w:cs="仿宋"/>
          <w:color w:val="000000"/>
          <w:sz w:val="32"/>
          <w:szCs w:val="32"/>
          <w:lang w:val="en-US" w:eastAsia="zh-CN"/>
        </w:rPr>
        <w:t>27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灾害</w:t>
      </w:r>
      <w:r>
        <w:rPr>
          <w:rFonts w:hint="eastAsia" w:ascii="仿宋" w:hAnsi="仿宋" w:eastAsia="仿宋" w:cs="仿宋"/>
          <w:color w:val="000000"/>
          <w:sz w:val="32"/>
          <w:szCs w:val="32"/>
        </w:rPr>
        <w:t>防治及应急管理支出（类）224</w:t>
      </w:r>
      <w:r>
        <w:rPr>
          <w:rFonts w:hint="eastAsia" w:ascii="仿宋_GB2312" w:eastAsia="仿宋_GB2312"/>
          <w:color w:val="000000"/>
          <w:sz w:val="32"/>
          <w:szCs w:val="32"/>
        </w:rPr>
        <w:t>应急管理事务（款）01其他应急管理支出（项）99：反映除上述项目外的其他应急管理方面的支出。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w:t>
      </w:r>
      <w:r>
        <w:rPr>
          <w:rFonts w:hint="eastAsia" w:ascii="仿宋" w:hAnsi="仿宋" w:eastAsia="仿宋" w:cs="仿宋"/>
          <w:color w:val="000000"/>
          <w:sz w:val="32"/>
          <w:szCs w:val="32"/>
          <w:lang w:val="en-US" w:eastAsia="zh-CN"/>
        </w:rPr>
        <w:t>灾害</w:t>
      </w:r>
      <w:r>
        <w:rPr>
          <w:rFonts w:hint="eastAsia" w:ascii="仿宋" w:hAnsi="仿宋" w:eastAsia="仿宋" w:cs="仿宋"/>
          <w:color w:val="000000"/>
          <w:sz w:val="32"/>
          <w:szCs w:val="32"/>
        </w:rPr>
        <w:t>防治及应急管理支出（类）224消防</w:t>
      </w:r>
      <w:r>
        <w:rPr>
          <w:rFonts w:hint="eastAsia" w:ascii="仿宋" w:hAnsi="仿宋" w:eastAsia="仿宋" w:cs="仿宋"/>
          <w:color w:val="000000"/>
          <w:sz w:val="32"/>
          <w:szCs w:val="32"/>
          <w:lang w:val="en-US" w:eastAsia="zh-CN"/>
        </w:rPr>
        <w:t>救援</w:t>
      </w:r>
      <w:r>
        <w:rPr>
          <w:rFonts w:hint="eastAsia" w:ascii="仿宋" w:hAnsi="仿宋" w:eastAsia="仿宋" w:cs="仿宋"/>
          <w:color w:val="000000"/>
          <w:sz w:val="32"/>
          <w:szCs w:val="32"/>
        </w:rPr>
        <w:t>事务</w:t>
      </w:r>
      <w:r>
        <w:rPr>
          <w:rFonts w:hint="eastAsia" w:ascii="仿宋_GB2312" w:eastAsia="仿宋_GB2312"/>
          <w:color w:val="000000"/>
          <w:sz w:val="32"/>
          <w:szCs w:val="32"/>
        </w:rPr>
        <w:t>（款）0</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其他消防</w:t>
      </w:r>
      <w:r>
        <w:rPr>
          <w:rFonts w:hint="eastAsia" w:ascii="仿宋_GB2312" w:eastAsia="仿宋_GB2312"/>
          <w:color w:val="000000"/>
          <w:sz w:val="32"/>
          <w:szCs w:val="32"/>
          <w:lang w:val="en-US" w:eastAsia="zh-CN"/>
        </w:rPr>
        <w:t>救援</w:t>
      </w:r>
      <w:r>
        <w:rPr>
          <w:rFonts w:hint="eastAsia" w:ascii="仿宋_GB2312" w:eastAsia="仿宋_GB2312"/>
          <w:color w:val="000000"/>
          <w:sz w:val="32"/>
          <w:szCs w:val="32"/>
        </w:rPr>
        <w:t>事务支出（项）99：反映除上述项目外其他用于消防</w:t>
      </w:r>
      <w:r>
        <w:rPr>
          <w:rFonts w:hint="eastAsia" w:ascii="仿宋_GB2312" w:eastAsia="仿宋_GB2312"/>
          <w:color w:val="000000"/>
          <w:sz w:val="32"/>
          <w:szCs w:val="32"/>
          <w:lang w:val="en-US" w:eastAsia="zh-CN"/>
        </w:rPr>
        <w:t>救援</w:t>
      </w:r>
      <w:r>
        <w:rPr>
          <w:rFonts w:hint="eastAsia" w:ascii="仿宋_GB2312" w:eastAsia="仿宋_GB2312"/>
          <w:color w:val="000000"/>
          <w:sz w:val="32"/>
          <w:szCs w:val="32"/>
        </w:rPr>
        <w:t>方面的支出。</w:t>
      </w:r>
    </w:p>
    <w:p>
      <w:pPr>
        <w:spacing w:line="576" w:lineRule="exact"/>
        <w:ind w:firstLine="640" w:firstLineChars="200"/>
        <w:rPr>
          <w:rFonts w:ascii="仿宋" w:hAnsi="仿宋" w:eastAsia="仿宋" w:cs="仿宋"/>
          <w:color w:val="000000"/>
          <w:sz w:val="32"/>
          <w:szCs w:val="32"/>
        </w:rPr>
      </w:pP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w:t>
      </w:r>
      <w:r>
        <w:rPr>
          <w:rFonts w:hint="eastAsia" w:ascii="仿宋" w:hAnsi="仿宋" w:eastAsia="仿宋" w:cs="仿宋"/>
          <w:color w:val="000000"/>
          <w:sz w:val="32"/>
          <w:szCs w:val="32"/>
          <w:lang w:val="en-US" w:eastAsia="zh-CN"/>
        </w:rPr>
        <w:t>灾害</w:t>
      </w:r>
      <w:r>
        <w:rPr>
          <w:rFonts w:hint="eastAsia" w:ascii="仿宋" w:hAnsi="仿宋" w:eastAsia="仿宋" w:cs="仿宋"/>
          <w:color w:val="000000"/>
          <w:sz w:val="32"/>
          <w:szCs w:val="32"/>
        </w:rPr>
        <w:t>防治及应急管理支出（类）224自然灾害救灾及恢复重建支出（款）07自然灾害</w:t>
      </w:r>
      <w:r>
        <w:rPr>
          <w:rFonts w:hint="eastAsia" w:ascii="仿宋" w:hAnsi="仿宋" w:eastAsia="仿宋" w:cs="仿宋"/>
          <w:color w:val="000000"/>
          <w:sz w:val="32"/>
          <w:szCs w:val="32"/>
          <w:lang w:val="en-US" w:eastAsia="zh-CN"/>
        </w:rPr>
        <w:t>救灾</w:t>
      </w:r>
      <w:r>
        <w:rPr>
          <w:rFonts w:hint="eastAsia" w:ascii="仿宋" w:hAnsi="仿宋" w:eastAsia="仿宋" w:cs="仿宋"/>
          <w:color w:val="000000"/>
          <w:sz w:val="32"/>
          <w:szCs w:val="32"/>
        </w:rPr>
        <w:t>补助（项）</w:t>
      </w:r>
      <w:r>
        <w:rPr>
          <w:rFonts w:hint="eastAsia" w:ascii="仿宋" w:hAnsi="仿宋" w:eastAsia="仿宋" w:cs="仿宋"/>
          <w:color w:val="000000"/>
          <w:sz w:val="32"/>
          <w:szCs w:val="32"/>
          <w:lang w:val="en-US" w:eastAsia="zh-CN"/>
        </w:rPr>
        <w:t>03</w:t>
      </w:r>
      <w:r>
        <w:rPr>
          <w:rFonts w:hint="eastAsia" w:ascii="仿宋" w:hAnsi="仿宋" w:eastAsia="仿宋" w:cs="仿宋"/>
          <w:color w:val="000000"/>
          <w:sz w:val="32"/>
          <w:szCs w:val="32"/>
        </w:rPr>
        <w:t>：反映</w:t>
      </w:r>
      <w:r>
        <w:rPr>
          <w:rFonts w:hint="eastAsia" w:ascii="仿宋" w:hAnsi="仿宋" w:eastAsia="仿宋" w:cs="仿宋"/>
          <w:color w:val="000000"/>
          <w:sz w:val="32"/>
          <w:szCs w:val="32"/>
          <w:lang w:val="en-US" w:eastAsia="zh-CN"/>
        </w:rPr>
        <w:t>用于应对重大</w:t>
      </w:r>
      <w:r>
        <w:rPr>
          <w:rFonts w:hint="eastAsia" w:ascii="仿宋" w:hAnsi="仿宋" w:eastAsia="仿宋" w:cs="仿宋"/>
          <w:color w:val="000000"/>
          <w:sz w:val="32"/>
          <w:szCs w:val="32"/>
        </w:rPr>
        <w:t>自然灾害</w:t>
      </w:r>
      <w:r>
        <w:rPr>
          <w:rFonts w:hint="eastAsia" w:ascii="仿宋" w:hAnsi="仿宋" w:eastAsia="仿宋" w:cs="仿宋"/>
          <w:color w:val="000000"/>
          <w:sz w:val="32"/>
          <w:szCs w:val="32"/>
          <w:lang w:val="en-US" w:eastAsia="zh-CN"/>
        </w:rPr>
        <w:t>应急救援和受灾群众救</w:t>
      </w:r>
      <w:r>
        <w:rPr>
          <w:rFonts w:hint="eastAsia" w:ascii="仿宋" w:hAnsi="仿宋" w:eastAsia="仿宋" w:cs="仿宋"/>
          <w:color w:val="000000"/>
          <w:sz w:val="32"/>
          <w:szCs w:val="32"/>
        </w:rPr>
        <w:t>助</w:t>
      </w:r>
      <w:r>
        <w:rPr>
          <w:rFonts w:hint="eastAsia" w:ascii="仿宋" w:hAnsi="仿宋" w:eastAsia="仿宋" w:cs="仿宋"/>
          <w:color w:val="000000"/>
          <w:sz w:val="32"/>
          <w:szCs w:val="32"/>
          <w:lang w:val="en-US" w:eastAsia="zh-CN"/>
        </w:rPr>
        <w:t>的支出</w:t>
      </w:r>
      <w:r>
        <w:rPr>
          <w:rFonts w:hint="eastAsia" w:ascii="仿宋" w:hAnsi="仿宋" w:eastAsia="仿宋" w:cs="仿宋"/>
          <w:color w:val="000000"/>
          <w:sz w:val="32"/>
          <w:szCs w:val="32"/>
        </w:rPr>
        <w:t>。</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 xml:space="preserve">.项目支出：指在基本支出之外为完成特定行政任务和事业发展目标所发生的支出。 </w:t>
      </w:r>
    </w:p>
    <w:p>
      <w:pPr>
        <w:pStyle w:val="25"/>
        <w:spacing w:line="576"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32</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33</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76" w:lineRule="exact"/>
        <w:jc w:val="both"/>
        <w:rPr>
          <w:rFonts w:hint="eastAsia" w:ascii="仿宋_GB2312" w:eastAsia="仿宋_GB2312"/>
          <w:sz w:val="32"/>
          <w:szCs w:val="32"/>
        </w:rPr>
      </w:pPr>
    </w:p>
    <w:p>
      <w:pPr>
        <w:widowControl/>
        <w:spacing w:line="576" w:lineRule="exact"/>
        <w:jc w:val="both"/>
        <w:rPr>
          <w:rStyle w:val="27"/>
          <w:rFonts w:hint="eastAsia" w:ascii="黑体" w:hAnsi="黑体" w:eastAsia="黑体"/>
          <w:b w:val="0"/>
        </w:rPr>
      </w:pPr>
      <w:bookmarkStart w:id="115" w:name="_Toc1494749786"/>
      <w:bookmarkStart w:id="116" w:name="_Toc2039053063"/>
      <w:bookmarkStart w:id="117" w:name="_Toc1701218490"/>
      <w:bookmarkStart w:id="118" w:name="_Toc15377226"/>
      <w:bookmarkStart w:id="119" w:name="_Toc15396618"/>
    </w:p>
    <w:p>
      <w:pPr>
        <w:widowControl/>
        <w:spacing w:line="576" w:lineRule="exact"/>
        <w:ind w:firstLine="3080" w:firstLineChars="700"/>
        <w:jc w:val="both"/>
        <w:rPr>
          <w:rStyle w:val="27"/>
          <w:rFonts w:hint="eastAsia" w:ascii="黑体" w:hAnsi="黑体" w:eastAsia="黑体"/>
          <w:b w:val="0"/>
          <w:lang w:val="en-US" w:eastAsia="zh-CN"/>
        </w:rPr>
      </w:pPr>
      <w:r>
        <w:rPr>
          <w:rStyle w:val="27"/>
          <w:rFonts w:hint="eastAsia" w:ascii="黑体" w:hAnsi="黑体" w:eastAsia="黑体"/>
          <w:b w:val="0"/>
        </w:rPr>
        <w:t>第</w:t>
      </w:r>
      <w:r>
        <w:rPr>
          <w:rStyle w:val="27"/>
          <w:rFonts w:hint="eastAsia" w:ascii="黑体" w:hAnsi="黑体" w:eastAsia="黑体"/>
          <w:b w:val="0"/>
          <w:lang w:val="en-US" w:eastAsia="zh-CN"/>
        </w:rPr>
        <w:t>四</w:t>
      </w:r>
      <w:r>
        <w:rPr>
          <w:rStyle w:val="27"/>
          <w:rFonts w:hint="eastAsia" w:ascii="黑体" w:hAnsi="黑体" w:eastAsia="黑体"/>
          <w:b w:val="0"/>
        </w:rPr>
        <w:t>部分</w:t>
      </w:r>
      <w:r>
        <w:rPr>
          <w:rStyle w:val="27"/>
          <w:rFonts w:hint="eastAsia" w:ascii="黑体" w:hAnsi="黑体" w:eastAsia="黑体"/>
          <w:b w:val="0"/>
          <w:lang w:val="en-US" w:eastAsia="zh-CN"/>
        </w:rPr>
        <w:t xml:space="preserve">  </w:t>
      </w:r>
      <w:r>
        <w:rPr>
          <w:rStyle w:val="27"/>
          <w:rFonts w:hint="eastAsia" w:ascii="黑体" w:hAnsi="黑体" w:eastAsia="黑体"/>
          <w:b w:val="0"/>
        </w:rPr>
        <w:t>附</w:t>
      </w:r>
      <w:r>
        <w:rPr>
          <w:rStyle w:val="27"/>
          <w:rFonts w:hint="eastAsia" w:ascii="黑体" w:hAnsi="黑体" w:eastAsia="黑体"/>
          <w:b w:val="0"/>
          <w:lang w:val="en-US" w:eastAsia="zh-CN"/>
        </w:rPr>
        <w:t>件</w:t>
      </w:r>
    </w:p>
    <w:bookmarkEnd w:id="115"/>
    <w:bookmarkEnd w:id="116"/>
    <w:bookmarkEnd w:id="117"/>
    <w:p>
      <w:pPr>
        <w:pStyle w:val="2"/>
        <w:rPr>
          <w:rFonts w:hint="eastAsia"/>
          <w:lang w:eastAsia="zh-CN"/>
        </w:rPr>
      </w:pPr>
    </w:p>
    <w:p>
      <w:pPr>
        <w:pStyle w:val="3"/>
        <w:spacing w:line="576" w:lineRule="exact"/>
        <w:ind w:firstLine="320" w:firstLineChars="100"/>
        <w:rPr>
          <w:rFonts w:hint="default" w:eastAsia="黑体"/>
          <w:sz w:val="32"/>
          <w:szCs w:val="32"/>
          <w:lang w:val="en-US" w:eastAsia="zh-CN"/>
        </w:rPr>
      </w:pPr>
      <w:bookmarkStart w:id="120" w:name="_Toc226822078"/>
      <w:bookmarkStart w:id="121" w:name="_Toc87256504"/>
      <w:bookmarkStart w:id="122" w:name="_Toc2131836539"/>
      <w:bookmarkStart w:id="123" w:name="_Toc335101987"/>
      <w:r>
        <w:rPr>
          <w:rStyle w:val="27"/>
          <w:rFonts w:hint="eastAsia" w:ascii="黑体" w:hAnsi="黑体" w:eastAsia="黑体" w:cs="黑体"/>
          <w:b w:val="0"/>
          <w:bCs w:val="0"/>
          <w:color w:val="000000" w:themeColor="text1"/>
          <w:sz w:val="32"/>
          <w:szCs w:val="32"/>
          <w:highlight w:val="none"/>
        </w:rPr>
        <w:t>附件1</w:t>
      </w:r>
      <w:bookmarkEnd w:id="120"/>
      <w:bookmarkEnd w:id="121"/>
      <w:bookmarkEnd w:id="122"/>
      <w:bookmarkEnd w:id="123"/>
      <w:r>
        <w:rPr>
          <w:rStyle w:val="27"/>
          <w:rFonts w:hint="eastAsia" w:ascii="黑体" w:hAnsi="黑体" w:eastAsia="黑体" w:cs="黑体"/>
          <w:b w:val="0"/>
          <w:bCs w:val="0"/>
          <w:color w:val="000000" w:themeColor="text1"/>
          <w:sz w:val="32"/>
          <w:szCs w:val="32"/>
          <w:highlight w:val="none"/>
          <w:lang w:val="en-US" w:eastAsia="zh-CN"/>
        </w:rPr>
        <w:t xml:space="preserve"> 项目支出绩效自评表</w:t>
      </w:r>
    </w:p>
    <w:p>
      <w:pPr>
        <w:widowControl/>
        <w:spacing w:line="576" w:lineRule="exact"/>
        <w:jc w:val="center"/>
        <w:rPr>
          <w:rStyle w:val="27"/>
          <w:rFonts w:hint="eastAsia" w:ascii="黑体" w:hAnsi="黑体" w:eastAsia="黑体"/>
          <w:b w:val="0"/>
        </w:rPr>
      </w:pPr>
      <w:bookmarkStart w:id="124" w:name="_Toc1276173858"/>
      <w:bookmarkStart w:id="125" w:name="_Toc1115155820"/>
      <w:bookmarkStart w:id="126" w:name="_Toc463011323"/>
    </w:p>
    <w:p>
      <w:pPr>
        <w:widowControl/>
        <w:spacing w:line="576" w:lineRule="exact"/>
        <w:jc w:val="center"/>
        <w:rPr>
          <w:rStyle w:val="27"/>
          <w:rFonts w:ascii="黑体" w:hAnsi="黑体" w:eastAsia="黑体"/>
          <w:b w:val="0"/>
        </w:rPr>
      </w:pPr>
      <w:r>
        <w:rPr>
          <w:rStyle w:val="27"/>
          <w:rFonts w:hint="eastAsia" w:ascii="黑体" w:hAnsi="黑体" w:eastAsia="黑体"/>
          <w:b w:val="0"/>
        </w:rPr>
        <w:t>第</w:t>
      </w:r>
      <w:r>
        <w:rPr>
          <w:rStyle w:val="27"/>
          <w:rFonts w:hint="eastAsia" w:ascii="黑体" w:hAnsi="黑体" w:eastAsia="黑体"/>
          <w:b w:val="0"/>
          <w:lang w:val="en-US" w:eastAsia="zh-CN"/>
        </w:rPr>
        <w:t>五</w:t>
      </w:r>
      <w:r>
        <w:rPr>
          <w:rStyle w:val="27"/>
          <w:rFonts w:hint="eastAsia" w:ascii="黑体" w:hAnsi="黑体" w:eastAsia="黑体"/>
          <w:b w:val="0"/>
        </w:rPr>
        <w:t>部分</w:t>
      </w:r>
      <w:r>
        <w:rPr>
          <w:rStyle w:val="27"/>
          <w:rFonts w:hint="eastAsia" w:ascii="黑体" w:hAnsi="黑体" w:eastAsia="黑体"/>
          <w:b w:val="0"/>
          <w:lang w:val="en-US" w:eastAsia="zh-CN"/>
        </w:rPr>
        <w:t xml:space="preserve"> </w:t>
      </w:r>
      <w:r>
        <w:rPr>
          <w:rStyle w:val="27"/>
          <w:rFonts w:hint="eastAsia" w:ascii="黑体" w:hAnsi="黑体" w:eastAsia="黑体"/>
          <w:b w:val="0"/>
        </w:rPr>
        <w:t>附表</w:t>
      </w:r>
      <w:bookmarkEnd w:id="118"/>
      <w:bookmarkEnd w:id="119"/>
      <w:bookmarkStart w:id="127" w:name="_Toc15396619"/>
    </w:p>
    <w:bookmarkEnd w:id="124"/>
    <w:bookmarkEnd w:id="125"/>
    <w:bookmarkEnd w:id="126"/>
    <w:p>
      <w:pPr>
        <w:pStyle w:val="2"/>
        <w:spacing w:before="93" w:line="576" w:lineRule="exact"/>
        <w:ind w:firstLine="300" w:firstLineChars="100"/>
        <w:rPr>
          <w:rFonts w:hint="eastAsia" w:ascii="黑体" w:hAnsi="黑体" w:eastAsia="黑体" w:cs="黑体"/>
          <w:lang w:val="en-US" w:eastAsia="zh-CN"/>
        </w:rPr>
      </w:pPr>
      <w:r>
        <w:rPr>
          <w:rFonts w:hint="eastAsia" w:ascii="黑体" w:hAnsi="黑体" w:eastAsia="黑体" w:cs="黑体"/>
          <w:lang w:val="en-US" w:eastAsia="zh-CN"/>
        </w:rPr>
        <w:t>附件2</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一、收</w:t>
      </w:r>
      <w:r>
        <w:rPr>
          <w:rStyle w:val="28"/>
          <w:rFonts w:hint="eastAsia" w:ascii="黑体" w:hAnsi="黑体" w:eastAsia="黑体" w:cs="黑体"/>
          <w:b w:val="0"/>
          <w:bCs w:val="0"/>
        </w:rPr>
        <w:t>入支出决算总表</w:t>
      </w:r>
      <w:bookmarkEnd w:id="127"/>
    </w:p>
    <w:p>
      <w:pPr>
        <w:spacing w:line="576" w:lineRule="exact"/>
        <w:ind w:firstLine="640" w:firstLineChars="200"/>
        <w:rPr>
          <w:rFonts w:ascii="黑体" w:hAnsi="黑体" w:eastAsia="黑体" w:cs="黑体"/>
          <w:sz w:val="32"/>
          <w:szCs w:val="32"/>
        </w:rPr>
      </w:pPr>
      <w:bookmarkStart w:id="128" w:name="_Toc15396620"/>
      <w:r>
        <w:rPr>
          <w:rFonts w:hint="eastAsia" w:ascii="黑体" w:hAnsi="黑体" w:eastAsia="黑体" w:cs="黑体"/>
          <w:sz w:val="32"/>
          <w:szCs w:val="32"/>
        </w:rPr>
        <w:t>二、收</w:t>
      </w:r>
      <w:r>
        <w:rPr>
          <w:rStyle w:val="28"/>
          <w:rFonts w:hint="eastAsia" w:ascii="黑体" w:hAnsi="黑体" w:eastAsia="黑体" w:cs="黑体"/>
          <w:b w:val="0"/>
          <w:bCs w:val="0"/>
        </w:rPr>
        <w:t>入决算表</w:t>
      </w:r>
      <w:bookmarkEnd w:id="128"/>
    </w:p>
    <w:p>
      <w:pPr>
        <w:spacing w:line="576" w:lineRule="atLeast"/>
        <w:ind w:firstLine="640" w:firstLineChars="200"/>
        <w:rPr>
          <w:rFonts w:ascii="黑体" w:hAnsi="黑体" w:eastAsia="黑体" w:cs="黑体"/>
          <w:sz w:val="32"/>
          <w:szCs w:val="32"/>
        </w:rPr>
      </w:pPr>
      <w:bookmarkStart w:id="129" w:name="_Toc289078245"/>
      <w:bookmarkStart w:id="130" w:name="_Toc370632243"/>
      <w:bookmarkStart w:id="131" w:name="_Toc953389175"/>
      <w:bookmarkStart w:id="132" w:name="_Toc15396621"/>
      <w:r>
        <w:rPr>
          <w:rStyle w:val="28"/>
          <w:rFonts w:hint="eastAsia" w:ascii="黑体" w:hAnsi="黑体" w:eastAsia="黑体" w:cs="黑体"/>
          <w:b w:val="0"/>
          <w:bCs w:val="0"/>
        </w:rPr>
        <w:t>三、</w:t>
      </w:r>
      <w:bookmarkEnd w:id="129"/>
      <w:bookmarkEnd w:id="130"/>
      <w:bookmarkEnd w:id="131"/>
      <w:r>
        <w:rPr>
          <w:rFonts w:hint="eastAsia" w:ascii="黑体" w:hAnsi="黑体" w:eastAsia="黑体" w:cs="黑体"/>
          <w:sz w:val="32"/>
          <w:szCs w:val="32"/>
        </w:rPr>
        <w:t>支</w:t>
      </w:r>
      <w:r>
        <w:rPr>
          <w:rStyle w:val="28"/>
          <w:rFonts w:hint="eastAsia" w:ascii="黑体" w:hAnsi="黑体" w:eastAsia="黑体" w:cs="黑体"/>
          <w:b w:val="0"/>
          <w:bCs w:val="0"/>
        </w:rPr>
        <w:t>出决算表</w:t>
      </w:r>
      <w:bookmarkEnd w:id="132"/>
    </w:p>
    <w:p>
      <w:pPr>
        <w:spacing w:line="576" w:lineRule="atLeast"/>
        <w:ind w:firstLine="640" w:firstLineChars="200"/>
        <w:rPr>
          <w:rFonts w:ascii="黑体" w:hAnsi="黑体" w:eastAsia="黑体" w:cs="黑体"/>
          <w:sz w:val="32"/>
          <w:szCs w:val="32"/>
        </w:rPr>
      </w:pPr>
      <w:bookmarkStart w:id="133" w:name="_Toc136734240"/>
      <w:bookmarkStart w:id="134" w:name="_Toc1733009924"/>
      <w:bookmarkStart w:id="135" w:name="_Toc2086664455"/>
      <w:bookmarkStart w:id="136" w:name="_Toc15396622"/>
      <w:r>
        <w:rPr>
          <w:rStyle w:val="28"/>
          <w:rFonts w:hint="eastAsia" w:ascii="黑体" w:hAnsi="黑体" w:eastAsia="黑体" w:cs="黑体"/>
          <w:b w:val="0"/>
          <w:bCs w:val="0"/>
        </w:rPr>
        <w:t>四、</w:t>
      </w:r>
      <w:bookmarkEnd w:id="133"/>
      <w:bookmarkEnd w:id="134"/>
      <w:bookmarkEnd w:id="135"/>
      <w:r>
        <w:rPr>
          <w:rFonts w:hint="eastAsia" w:ascii="黑体" w:hAnsi="黑体" w:eastAsia="黑体" w:cs="黑体"/>
          <w:sz w:val="32"/>
          <w:szCs w:val="32"/>
        </w:rPr>
        <w:t>财</w:t>
      </w:r>
      <w:r>
        <w:rPr>
          <w:rStyle w:val="28"/>
          <w:rFonts w:hint="eastAsia" w:ascii="黑体" w:hAnsi="黑体" w:eastAsia="黑体" w:cs="黑体"/>
          <w:b w:val="0"/>
          <w:bCs w:val="0"/>
        </w:rPr>
        <w:t>政拨款收入支出决算总表</w:t>
      </w:r>
      <w:bookmarkEnd w:id="136"/>
    </w:p>
    <w:p>
      <w:pPr>
        <w:spacing w:line="576" w:lineRule="exact"/>
        <w:ind w:firstLine="640" w:firstLineChars="200"/>
        <w:rPr>
          <w:rStyle w:val="28"/>
          <w:rFonts w:ascii="黑体" w:hAnsi="黑体" w:eastAsia="黑体" w:cs="黑体"/>
          <w:b w:val="0"/>
          <w:bCs w:val="0"/>
        </w:rPr>
      </w:pPr>
      <w:bookmarkStart w:id="137" w:name="_Toc1289011143"/>
      <w:bookmarkStart w:id="138" w:name="_Toc17332790"/>
      <w:bookmarkStart w:id="139" w:name="_Toc1729663245"/>
      <w:bookmarkStart w:id="140" w:name="_Toc15396623"/>
      <w:r>
        <w:rPr>
          <w:rStyle w:val="28"/>
          <w:rFonts w:hint="eastAsia" w:ascii="黑体" w:hAnsi="黑体" w:eastAsia="黑体" w:cs="黑体"/>
          <w:b w:val="0"/>
          <w:bCs w:val="0"/>
        </w:rPr>
        <w:t>五、</w:t>
      </w:r>
      <w:bookmarkEnd w:id="137"/>
      <w:bookmarkEnd w:id="138"/>
      <w:bookmarkEnd w:id="139"/>
      <w:r>
        <w:rPr>
          <w:rFonts w:hint="eastAsia" w:ascii="黑体" w:hAnsi="黑体" w:eastAsia="黑体" w:cs="黑体"/>
          <w:sz w:val="32"/>
          <w:szCs w:val="32"/>
        </w:rPr>
        <w:t>财</w:t>
      </w:r>
      <w:r>
        <w:rPr>
          <w:rStyle w:val="28"/>
          <w:rFonts w:hint="eastAsia" w:ascii="黑体" w:hAnsi="黑体" w:eastAsia="黑体" w:cs="黑体"/>
          <w:b w:val="0"/>
          <w:bCs w:val="0"/>
        </w:rPr>
        <w:t>政拨款支出决算明细表</w:t>
      </w:r>
      <w:bookmarkEnd w:id="140"/>
      <w:bookmarkStart w:id="141" w:name="_Toc15396624"/>
    </w:p>
    <w:p>
      <w:pPr>
        <w:spacing w:line="576" w:lineRule="exact"/>
        <w:ind w:firstLine="640" w:firstLineChars="200"/>
        <w:rPr>
          <w:rFonts w:ascii="黑体" w:hAnsi="黑体" w:eastAsia="黑体" w:cs="黑体"/>
          <w:sz w:val="32"/>
          <w:szCs w:val="32"/>
        </w:rPr>
      </w:pPr>
      <w:bookmarkStart w:id="142" w:name="_Toc376098240"/>
      <w:bookmarkStart w:id="143" w:name="_Toc1552707738"/>
      <w:bookmarkStart w:id="144" w:name="_Toc1472225156"/>
      <w:r>
        <w:rPr>
          <w:rStyle w:val="28"/>
          <w:rFonts w:hint="eastAsia" w:ascii="黑体" w:hAnsi="黑体" w:eastAsia="黑体" w:cs="黑体"/>
          <w:b w:val="0"/>
          <w:bCs w:val="0"/>
        </w:rPr>
        <w:t>六、</w:t>
      </w:r>
      <w:bookmarkEnd w:id="142"/>
      <w:bookmarkEnd w:id="143"/>
      <w:bookmarkEnd w:id="144"/>
      <w:r>
        <w:rPr>
          <w:rFonts w:hint="eastAsia" w:ascii="黑体" w:hAnsi="黑体" w:eastAsia="黑体" w:cs="黑体"/>
          <w:sz w:val="32"/>
          <w:szCs w:val="32"/>
        </w:rPr>
        <w:t>一</w:t>
      </w:r>
      <w:r>
        <w:rPr>
          <w:rStyle w:val="28"/>
          <w:rFonts w:hint="eastAsia" w:ascii="黑体" w:hAnsi="黑体" w:eastAsia="黑体" w:cs="黑体"/>
          <w:b w:val="0"/>
          <w:bCs w:val="0"/>
        </w:rPr>
        <w:t>般公共预算财政拨款支出决算表</w:t>
      </w:r>
      <w:bookmarkEnd w:id="141"/>
    </w:p>
    <w:p>
      <w:pPr>
        <w:spacing w:line="576" w:lineRule="exact"/>
        <w:ind w:firstLine="640" w:firstLineChars="200"/>
        <w:rPr>
          <w:rFonts w:ascii="黑体" w:hAnsi="黑体" w:eastAsia="黑体" w:cs="黑体"/>
          <w:sz w:val="32"/>
          <w:szCs w:val="32"/>
        </w:rPr>
      </w:pPr>
      <w:bookmarkStart w:id="145" w:name="_Toc661690176"/>
      <w:bookmarkStart w:id="146" w:name="_Toc1654658084"/>
      <w:bookmarkStart w:id="147" w:name="_Toc1872195771"/>
      <w:bookmarkStart w:id="148" w:name="_Toc15396625"/>
      <w:r>
        <w:rPr>
          <w:rStyle w:val="28"/>
          <w:rFonts w:hint="eastAsia" w:ascii="黑体" w:hAnsi="黑体" w:eastAsia="黑体" w:cs="黑体"/>
          <w:b w:val="0"/>
          <w:bCs w:val="0"/>
        </w:rPr>
        <w:t>七、</w:t>
      </w:r>
      <w:bookmarkEnd w:id="145"/>
      <w:bookmarkEnd w:id="146"/>
      <w:bookmarkEnd w:id="147"/>
      <w:r>
        <w:rPr>
          <w:rFonts w:hint="eastAsia" w:ascii="黑体" w:hAnsi="黑体" w:eastAsia="黑体" w:cs="黑体"/>
          <w:sz w:val="32"/>
          <w:szCs w:val="32"/>
        </w:rPr>
        <w:t>一</w:t>
      </w:r>
      <w:r>
        <w:rPr>
          <w:rStyle w:val="28"/>
          <w:rFonts w:hint="eastAsia" w:ascii="黑体" w:hAnsi="黑体" w:eastAsia="黑体" w:cs="黑体"/>
          <w:b w:val="0"/>
          <w:bCs w:val="0"/>
        </w:rPr>
        <w:t>般公共预算财政拨款支出决算明细表</w:t>
      </w:r>
      <w:bookmarkEnd w:id="148"/>
    </w:p>
    <w:p>
      <w:pPr>
        <w:spacing w:line="576" w:lineRule="exact"/>
        <w:ind w:firstLine="640" w:firstLineChars="200"/>
        <w:rPr>
          <w:rFonts w:ascii="黑体" w:hAnsi="黑体" w:eastAsia="黑体" w:cs="黑体"/>
          <w:sz w:val="32"/>
          <w:szCs w:val="32"/>
        </w:rPr>
      </w:pPr>
      <w:bookmarkStart w:id="149" w:name="_Toc1364805538"/>
      <w:bookmarkStart w:id="150" w:name="_Toc555643095"/>
      <w:bookmarkStart w:id="151" w:name="_Toc678503431"/>
      <w:bookmarkStart w:id="152" w:name="_Toc15396626"/>
      <w:r>
        <w:rPr>
          <w:rStyle w:val="28"/>
          <w:rFonts w:hint="eastAsia" w:ascii="黑体" w:hAnsi="黑体" w:eastAsia="黑体" w:cs="黑体"/>
          <w:b w:val="0"/>
          <w:bCs w:val="0"/>
        </w:rPr>
        <w:t>八、</w:t>
      </w:r>
      <w:bookmarkEnd w:id="149"/>
      <w:bookmarkEnd w:id="150"/>
      <w:bookmarkEnd w:id="151"/>
      <w:r>
        <w:rPr>
          <w:rFonts w:hint="eastAsia" w:ascii="黑体" w:hAnsi="黑体" w:eastAsia="黑体" w:cs="黑体"/>
          <w:sz w:val="32"/>
          <w:szCs w:val="32"/>
        </w:rPr>
        <w:t>一</w:t>
      </w:r>
      <w:r>
        <w:rPr>
          <w:rStyle w:val="28"/>
          <w:rFonts w:hint="eastAsia" w:ascii="黑体" w:hAnsi="黑体" w:eastAsia="黑体" w:cs="黑体"/>
          <w:b w:val="0"/>
          <w:bCs w:val="0"/>
        </w:rPr>
        <w:t>般公共预算财政拨款基本支出决算表</w:t>
      </w:r>
      <w:bookmarkEnd w:id="152"/>
    </w:p>
    <w:p>
      <w:pPr>
        <w:spacing w:line="576" w:lineRule="exact"/>
        <w:ind w:firstLine="640" w:firstLineChars="200"/>
        <w:rPr>
          <w:rStyle w:val="28"/>
          <w:rFonts w:ascii="黑体" w:hAnsi="黑体" w:eastAsia="黑体" w:cs="黑体"/>
          <w:b w:val="0"/>
          <w:bCs w:val="0"/>
        </w:rPr>
      </w:pPr>
      <w:bookmarkStart w:id="153" w:name="_Toc15396627"/>
      <w:bookmarkStart w:id="154" w:name="_Toc1374093111"/>
      <w:bookmarkStart w:id="155" w:name="_Toc88328222"/>
      <w:bookmarkStart w:id="156" w:name="_Toc1758848977"/>
      <w:r>
        <w:rPr>
          <w:rStyle w:val="28"/>
          <w:rFonts w:hint="eastAsia" w:ascii="黑体" w:hAnsi="黑体" w:eastAsia="黑体" w:cs="黑体"/>
          <w:b w:val="0"/>
          <w:bCs w:val="0"/>
        </w:rPr>
        <w:t>九、一般公共预算财政拨款项目支出决算表</w:t>
      </w:r>
      <w:bookmarkEnd w:id="153"/>
    </w:p>
    <w:bookmarkEnd w:id="154"/>
    <w:bookmarkEnd w:id="155"/>
    <w:bookmarkEnd w:id="156"/>
    <w:p>
      <w:pPr>
        <w:spacing w:line="576" w:lineRule="exact"/>
        <w:ind w:firstLine="640" w:firstLineChars="200"/>
        <w:rPr>
          <w:rStyle w:val="28"/>
          <w:rFonts w:ascii="黑体" w:hAnsi="黑体" w:eastAsia="黑体" w:cs="黑体"/>
          <w:b w:val="0"/>
          <w:bCs w:val="0"/>
        </w:rPr>
      </w:pPr>
      <w:bookmarkStart w:id="157" w:name="_Toc1396764509"/>
      <w:bookmarkStart w:id="158" w:name="_Toc15396628"/>
      <w:bookmarkStart w:id="159" w:name="_Toc1057673438"/>
      <w:bookmarkStart w:id="160" w:name="_Toc1761893496"/>
      <w:r>
        <w:rPr>
          <w:rStyle w:val="28"/>
          <w:rFonts w:hint="eastAsia" w:ascii="黑体" w:hAnsi="黑体" w:eastAsia="黑体" w:cs="黑体"/>
          <w:b w:val="0"/>
          <w:bCs w:val="0"/>
        </w:rPr>
        <w:t>十、</w:t>
      </w:r>
      <w:bookmarkEnd w:id="157"/>
      <w:bookmarkEnd w:id="158"/>
      <w:bookmarkStart w:id="161" w:name="_Toc15396629"/>
      <w:bookmarkStart w:id="162" w:name="_Toc245740227"/>
      <w:r>
        <w:rPr>
          <w:rStyle w:val="28"/>
          <w:rFonts w:hint="eastAsia" w:ascii="黑体" w:hAnsi="黑体" w:eastAsia="黑体" w:cs="黑体"/>
          <w:b w:val="0"/>
          <w:bCs w:val="0"/>
        </w:rPr>
        <w:t>政府性基金预算财政拨款收入支出决算表</w:t>
      </w:r>
      <w:bookmarkEnd w:id="161"/>
    </w:p>
    <w:bookmarkEnd w:id="159"/>
    <w:bookmarkEnd w:id="160"/>
    <w:bookmarkEnd w:id="162"/>
    <w:p>
      <w:pPr>
        <w:spacing w:line="576" w:lineRule="exact"/>
        <w:ind w:firstLine="640" w:firstLineChars="200"/>
        <w:rPr>
          <w:rStyle w:val="28"/>
          <w:rFonts w:ascii="黑体" w:hAnsi="黑体" w:eastAsia="黑体" w:cs="黑体"/>
          <w:b w:val="0"/>
          <w:bCs w:val="0"/>
        </w:rPr>
      </w:pPr>
      <w:bookmarkStart w:id="163" w:name="_Toc15396631"/>
      <w:bookmarkStart w:id="164" w:name="_Toc1152483953"/>
      <w:bookmarkStart w:id="165" w:name="_Toc1068673174"/>
      <w:bookmarkStart w:id="166" w:name="_Toc51741060"/>
      <w:r>
        <w:rPr>
          <w:rStyle w:val="28"/>
          <w:rFonts w:hint="eastAsia" w:ascii="黑体" w:hAnsi="黑体" w:eastAsia="黑体" w:cs="黑体"/>
          <w:b w:val="0"/>
          <w:bCs w:val="0"/>
        </w:rPr>
        <w:t>十</w:t>
      </w:r>
      <w:r>
        <w:rPr>
          <w:rStyle w:val="28"/>
          <w:rFonts w:hint="default" w:ascii="黑体" w:hAnsi="黑体" w:eastAsia="黑体" w:cs="黑体"/>
          <w:b w:val="0"/>
          <w:bCs w:val="0"/>
        </w:rPr>
        <w:t>一</w:t>
      </w:r>
      <w:r>
        <w:rPr>
          <w:rStyle w:val="28"/>
          <w:rFonts w:hint="eastAsia" w:ascii="黑体" w:hAnsi="黑体" w:eastAsia="黑体" w:cs="黑体"/>
          <w:b w:val="0"/>
          <w:bCs w:val="0"/>
        </w:rPr>
        <w:t>、国有资本经营预算财政拨款收入支出决算表</w:t>
      </w:r>
      <w:bookmarkEnd w:id="163"/>
    </w:p>
    <w:bookmarkEnd w:id="164"/>
    <w:bookmarkEnd w:id="165"/>
    <w:bookmarkEnd w:id="166"/>
    <w:p>
      <w:pPr>
        <w:spacing w:line="576" w:lineRule="exact"/>
        <w:ind w:firstLine="640" w:firstLineChars="200"/>
        <w:rPr>
          <w:rStyle w:val="28"/>
          <w:rFonts w:hint="eastAsia" w:ascii="黑体" w:hAnsi="黑体" w:eastAsia="黑体" w:cs="黑体"/>
          <w:b w:val="0"/>
          <w:bCs w:val="0"/>
        </w:rPr>
      </w:pPr>
      <w:bookmarkStart w:id="167" w:name="_Toc103115953"/>
      <w:bookmarkStart w:id="168" w:name="_Toc1967193408"/>
      <w:bookmarkStart w:id="169" w:name="_Toc1325477746"/>
      <w:r>
        <w:rPr>
          <w:rStyle w:val="28"/>
          <w:rFonts w:hint="eastAsia" w:ascii="黑体" w:hAnsi="黑体" w:eastAsia="黑体" w:cs="黑体"/>
          <w:b w:val="0"/>
          <w:bCs w:val="0"/>
        </w:rPr>
        <w:t>十</w:t>
      </w:r>
      <w:r>
        <w:rPr>
          <w:rStyle w:val="28"/>
          <w:rFonts w:hint="default" w:ascii="黑体" w:hAnsi="黑体" w:eastAsia="黑体" w:cs="黑体"/>
          <w:b w:val="0"/>
          <w:bCs w:val="0"/>
        </w:rPr>
        <w:t>二</w:t>
      </w:r>
      <w:r>
        <w:rPr>
          <w:rStyle w:val="28"/>
          <w:rFonts w:hint="eastAsia" w:ascii="黑体" w:hAnsi="黑体" w:eastAsia="黑体" w:cs="黑体"/>
          <w:b w:val="0"/>
          <w:bCs w:val="0"/>
        </w:rPr>
        <w:t>、国有资本经营预算财政拨款支出决算表</w:t>
      </w:r>
    </w:p>
    <w:bookmarkEnd w:id="167"/>
    <w:bookmarkEnd w:id="168"/>
    <w:p>
      <w:pPr>
        <w:pStyle w:val="2"/>
        <w:ind w:left="0" w:leftChars="0" w:firstLine="640" w:firstLineChars="200"/>
        <w:rPr>
          <w:rStyle w:val="28"/>
          <w:rFonts w:hint="default" w:ascii="黑体" w:hAnsi="黑体" w:eastAsia="黑体" w:cs="黑体"/>
          <w:b w:val="0"/>
          <w:bCs w:val="0"/>
          <w:lang w:eastAsia="zh-CN" w:bidi="ar-SA"/>
        </w:rPr>
      </w:pPr>
      <w:bookmarkStart w:id="170" w:name="_Toc240819905"/>
      <w:bookmarkStart w:id="171" w:name="_Toc1987665370"/>
      <w:r>
        <w:rPr>
          <w:rStyle w:val="28"/>
          <w:rFonts w:hint="eastAsia" w:ascii="黑体" w:hAnsi="黑体" w:eastAsia="黑体" w:cs="黑体"/>
          <w:b w:val="0"/>
          <w:bCs w:val="0"/>
          <w:lang w:eastAsia="zh-CN" w:bidi="ar-SA"/>
        </w:rPr>
        <w:t>十三、财政拨款“三公”经费支出决算表</w:t>
      </w:r>
    </w:p>
    <w:bookmarkEnd w:id="169"/>
    <w:bookmarkEnd w:id="170"/>
    <w:bookmarkEnd w:id="171"/>
    <w:sectPr>
      <w:footerReference r:id="rId6" w:type="first"/>
      <w:footerReference r:id="rId5" w:type="default"/>
      <w:pgSz w:w="11906" w:h="16838"/>
      <w:pgMar w:top="1213" w:right="1689" w:bottom="1100" w:left="1066"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posOffset>2088515</wp:posOffset>
              </wp:positionH>
              <wp:positionV relativeFrom="paragraph">
                <wp:posOffset>-1217930</wp:posOffset>
              </wp:positionV>
              <wp:extent cx="391795" cy="370205"/>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391795" cy="370205"/>
                      </a:xfrm>
                      <a:prstGeom prst="rect">
                        <a:avLst/>
                      </a:prstGeom>
                      <a:noFill/>
                      <a:ln>
                        <a:noFill/>
                      </a:ln>
                    </wps:spPr>
                    <wps:txbx>
                      <w:txbxContent>
                        <w:p>
                          <w:pPr>
                            <w:pStyle w:val="10"/>
                            <w:rPr>
                              <w:rFonts w:hint="default" w:eastAsia="宋体"/>
                              <w:lang w:val="en-US" w:eastAsia="zh-CN"/>
                            </w:rPr>
                          </w:pPr>
                        </w:p>
                      </w:txbxContent>
                    </wps:txbx>
                    <wps:bodyPr lIns="0" tIns="0" rIns="0" bIns="0" upright="false"/>
                  </wps:wsp>
                </a:graphicData>
              </a:graphic>
            </wp:anchor>
          </w:drawing>
        </mc:Choice>
        <mc:Fallback>
          <w:pict>
            <v:shape id="文本框 2" o:spid="_x0000_s1026" o:spt="202" type="#_x0000_t202" style="position:absolute;left:0pt;margin-left:164.45pt;margin-top:-95.9pt;height:29.15pt;width:30.85pt;mso-position-horizontal-relative:margin;z-index:251660288;mso-width-relative:page;mso-height-relative:page;" filled="f" stroked="f" coordsize="21600,21600" o:gfxdata="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Dg5SAnbAAAADQEAAA8AAAAAAAAAAQAgAAAAOAAAAGRycy9kb3ducmV2LnhtbFBL&#10;AQIUABQAAAAIAIdO4kDuywwKpAEAACoDAAAOAAAAAAAAAAEAIAAAAEABAABkcnMvZTJvRG9jLnht&#10;bFBLBQYAAAAABgAGAFkBAABWBQAAAAA=&#10;">
              <v:fill on="f" focussize="0,0"/>
              <v:stroke on="f"/>
              <v:imagedata o:title=""/>
              <o:lock v:ext="edit" aspectratio="f"/>
              <v:textbox inset="0mm,0mm,0mm,0mm">
                <w:txbxContent>
                  <w:p>
                    <w:pPr>
                      <w:pStyle w:val="10"/>
                      <w:rPr>
                        <w:rFonts w:hint="default" w:eastAsia="宋体"/>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2</w:t>
                          </w:r>
                          <w:r>
                            <w:fldChar w:fldCharType="end"/>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UcK3C0AQAAUgMAAA4AAABkcnMv&#10;ZTJvRG9jLnhtbK1TS44TMRDdI3EHy3viToQ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S4kXDkd0/PH9+PPx+PCNvC7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1RwrcLQBAABSAwAADgAAAAAAAAABACAAAAA0AQAAZHJzL2Uyb0Rv&#10;Yy54bWxQSwUGAAAAAAYABgBZAQAAWg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zcf/e0AQAAUgMAAA4AAABkcnMv&#10;ZTJvRG9jLnhtbK1TS24bMQzdF8gdBO1jjQ2k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jFQXnhcETHb1+P338ef3whN6U9Q0wt&#10;Zj1FzMvjmzBymmGnplBCfxE+anDli5IIpmCvD5f+qjETic75crFcNhiSGJsuWII9/x4h5bcqOFIM&#10;TgEHWPsq9u9SPqVOKaWaDw/G2jpE6/9wIGbxsEL/xLFYedyMZ02b0B1Q0oCz59TjclJiHz22tqzJ&#10;ZMBkbCZjF8Fse6SmhU1lOALh73YZiVR+pcoJ+lwcB1cVnpesbMbv95r1/BT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nNx/97QBAABSAwAADgAAAAAAAAABACAAAAA0AQAAZHJzL2Uyb0Rv&#10;Yy54bWxQSwUGAAAAAAYABgBZAQAAWg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2088515</wp:posOffset>
              </wp:positionH>
              <wp:positionV relativeFrom="paragraph">
                <wp:posOffset>-1217930</wp:posOffset>
              </wp:positionV>
              <wp:extent cx="391795" cy="370205"/>
              <wp:effectExtent l="0" t="0" r="0" b="0"/>
              <wp:wrapNone/>
              <wp:docPr id="5" name="文本框 3"/>
              <wp:cNvGraphicFramePr/>
              <a:graphic xmlns:a="http://schemas.openxmlformats.org/drawingml/2006/main">
                <a:graphicData uri="http://schemas.microsoft.com/office/word/2010/wordprocessingShape">
                  <wps:wsp>
                    <wps:cNvSpPr txBox="true"/>
                    <wps:spPr>
                      <a:xfrm>
                        <a:off x="0" y="0"/>
                        <a:ext cx="391795" cy="370205"/>
                      </a:xfrm>
                      <a:prstGeom prst="rect">
                        <a:avLst/>
                      </a:prstGeom>
                      <a:noFill/>
                      <a:ln>
                        <a:noFill/>
                      </a:ln>
                    </wps:spPr>
                    <wps:txbx>
                      <w:txbxContent>
                        <w:p>
                          <w:pPr>
                            <w:pStyle w:val="10"/>
                            <w:rPr>
                              <w:rFonts w:hint="default" w:eastAsia="宋体"/>
                              <w:lang w:val="en-US" w:eastAsia="zh-CN"/>
                            </w:rPr>
                          </w:pPr>
                        </w:p>
                      </w:txbxContent>
                    </wps:txbx>
                    <wps:bodyPr lIns="0" tIns="0" rIns="0" bIns="0" upright="false"/>
                  </wps:wsp>
                </a:graphicData>
              </a:graphic>
            </wp:anchor>
          </w:drawing>
        </mc:Choice>
        <mc:Fallback>
          <w:pict>
            <v:shape id="文本框 3" o:spid="_x0000_s1026" o:spt="202" type="#_x0000_t202" style="position:absolute;left:0pt;margin-left:164.45pt;margin-top:-95.9pt;height:29.15pt;width:30.85pt;mso-position-horizontal-relative:margin;z-index:251662336;mso-width-relative:page;mso-height-relative:page;" filled="f" stroked="f" coordsize="21600,21600" o:gfxdata="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ODlICdsAAAANAQAADwAAAAAAAAABACAAAAA4AAAAZHJzL2Rvd25yZXYueG1sUEsB&#10;AhQAFAAAAAgAh07iQLLvi3GjAQAAKgMAAA4AAAAAAAAAAQAgAAAAQAEAAGRycy9lMm9Eb2MueG1s&#10;UEsFBgAAAAAGAAYAWQEAAFUFAAAAAA==&#10;">
              <v:fill on="f" focussize="0,0"/>
              <v:stroke on="f"/>
              <v:imagedata o:title=""/>
              <o:lock v:ext="edit" aspectratio="f"/>
              <v:textbox inset="0mm,0mm,0mm,0mm">
                <w:txbxContent>
                  <w:p>
                    <w:pPr>
                      <w:pStyle w:val="10"/>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A2996"/>
    <w:multiLevelType w:val="singleLevel"/>
    <w:tmpl w:val="B47A2996"/>
    <w:lvl w:ilvl="0" w:tentative="0">
      <w:start w:val="1"/>
      <w:numFmt w:val="chineseCounting"/>
      <w:suff w:val="space"/>
      <w:lvlText w:val="第%1部分"/>
      <w:lvlJc w:val="left"/>
      <w:rPr>
        <w:rFonts w:hint="eastAsia" w:ascii="方正小标宋简体" w:hAnsi="方正小标宋简体" w:eastAsia="方正小标宋简体" w:cs="方正小标宋简体"/>
        <w:sz w:val="44"/>
        <w:szCs w:val="44"/>
      </w:rPr>
    </w:lvl>
  </w:abstractNum>
  <w:abstractNum w:abstractNumId="1">
    <w:nsid w:val="CF652CEC"/>
    <w:multiLevelType w:val="singleLevel"/>
    <w:tmpl w:val="CF652CEC"/>
    <w:lvl w:ilvl="0" w:tentative="0">
      <w:start w:val="9"/>
      <w:numFmt w:val="chineseCounting"/>
      <w:suff w:val="nothing"/>
      <w:lvlText w:val="%1、"/>
      <w:lvlJc w:val="left"/>
      <w:pPr>
        <w:ind w:left="-640"/>
      </w:pPr>
      <w:rPr>
        <w:rFonts w:hint="eastAsia"/>
      </w:rPr>
    </w:lvl>
  </w:abstractNum>
  <w:abstractNum w:abstractNumId="2">
    <w:nsid w:val="F24ACA61"/>
    <w:multiLevelType w:val="singleLevel"/>
    <w:tmpl w:val="F24ACA61"/>
    <w:lvl w:ilvl="0" w:tentative="0">
      <w:start w:val="1"/>
      <w:numFmt w:val="decimal"/>
      <w:lvlText w:val="%1."/>
      <w:lvlJc w:val="left"/>
      <w:pPr>
        <w:tabs>
          <w:tab w:val="left" w:pos="312"/>
        </w:tabs>
        <w:ind w:left="-220"/>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01B675C"/>
    <w:multiLevelType w:val="singleLevel"/>
    <w:tmpl w:val="301B675C"/>
    <w:lvl w:ilvl="0" w:tentative="0">
      <w:start w:val="1"/>
      <w:numFmt w:val="decimal"/>
      <w:lvlText w:val="%1."/>
      <w:lvlJc w:val="left"/>
      <w:pPr>
        <w:tabs>
          <w:tab w:val="left" w:pos="312"/>
        </w:tabs>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zdiM2EyNjc0ZGM2ODA4MDk2ZTIzNGY4ZGM5ZDI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9FC"/>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4D35"/>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72A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5F3D84"/>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05E9"/>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56C7"/>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3264"/>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191B"/>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C62FE"/>
    <w:rsid w:val="01192926"/>
    <w:rsid w:val="01255392"/>
    <w:rsid w:val="0164646D"/>
    <w:rsid w:val="01B82438"/>
    <w:rsid w:val="01D00512"/>
    <w:rsid w:val="01E2294C"/>
    <w:rsid w:val="0205420F"/>
    <w:rsid w:val="021574DB"/>
    <w:rsid w:val="022950E4"/>
    <w:rsid w:val="02417937"/>
    <w:rsid w:val="024E06A7"/>
    <w:rsid w:val="026017C0"/>
    <w:rsid w:val="02806B46"/>
    <w:rsid w:val="02AB5AF9"/>
    <w:rsid w:val="02B71F67"/>
    <w:rsid w:val="02CB5999"/>
    <w:rsid w:val="02DD05FC"/>
    <w:rsid w:val="0304222A"/>
    <w:rsid w:val="030624A9"/>
    <w:rsid w:val="030D40BE"/>
    <w:rsid w:val="03137998"/>
    <w:rsid w:val="035E3080"/>
    <w:rsid w:val="036F2FCB"/>
    <w:rsid w:val="03B22EB7"/>
    <w:rsid w:val="03D90444"/>
    <w:rsid w:val="03E07A24"/>
    <w:rsid w:val="03ED4857"/>
    <w:rsid w:val="03EF0DA4"/>
    <w:rsid w:val="040D6EAF"/>
    <w:rsid w:val="04163446"/>
    <w:rsid w:val="04397422"/>
    <w:rsid w:val="043A3509"/>
    <w:rsid w:val="045C6BBA"/>
    <w:rsid w:val="045D496D"/>
    <w:rsid w:val="04845EDE"/>
    <w:rsid w:val="04DA6C39"/>
    <w:rsid w:val="052E0131"/>
    <w:rsid w:val="054855AF"/>
    <w:rsid w:val="0570558C"/>
    <w:rsid w:val="057A571F"/>
    <w:rsid w:val="05A94533"/>
    <w:rsid w:val="05CA5C40"/>
    <w:rsid w:val="05D1385B"/>
    <w:rsid w:val="05D630B6"/>
    <w:rsid w:val="05DB66F5"/>
    <w:rsid w:val="05F6352F"/>
    <w:rsid w:val="062C5D5F"/>
    <w:rsid w:val="06563FCE"/>
    <w:rsid w:val="065D41ED"/>
    <w:rsid w:val="06622973"/>
    <w:rsid w:val="066E0107"/>
    <w:rsid w:val="067E3242"/>
    <w:rsid w:val="068154EF"/>
    <w:rsid w:val="06AE0CA3"/>
    <w:rsid w:val="06CF50D3"/>
    <w:rsid w:val="06F55595"/>
    <w:rsid w:val="07353DDE"/>
    <w:rsid w:val="073F4A62"/>
    <w:rsid w:val="074145DD"/>
    <w:rsid w:val="07442078"/>
    <w:rsid w:val="074F1149"/>
    <w:rsid w:val="076102AA"/>
    <w:rsid w:val="07690D64"/>
    <w:rsid w:val="078266E9"/>
    <w:rsid w:val="07996F6E"/>
    <w:rsid w:val="07AB0349"/>
    <w:rsid w:val="07D60DBF"/>
    <w:rsid w:val="081F57DA"/>
    <w:rsid w:val="08303674"/>
    <w:rsid w:val="083843C6"/>
    <w:rsid w:val="083A10B9"/>
    <w:rsid w:val="083A316D"/>
    <w:rsid w:val="083E6008"/>
    <w:rsid w:val="085B5C58"/>
    <w:rsid w:val="08870D8A"/>
    <w:rsid w:val="08913342"/>
    <w:rsid w:val="08CD07B9"/>
    <w:rsid w:val="08D10F41"/>
    <w:rsid w:val="08EE7CAC"/>
    <w:rsid w:val="0922463B"/>
    <w:rsid w:val="095B5927"/>
    <w:rsid w:val="098E1C76"/>
    <w:rsid w:val="09AB3C3F"/>
    <w:rsid w:val="09DA3249"/>
    <w:rsid w:val="0A116B8A"/>
    <w:rsid w:val="0A2032A3"/>
    <w:rsid w:val="0A3A662E"/>
    <w:rsid w:val="0A3E48B7"/>
    <w:rsid w:val="0A3E6FD7"/>
    <w:rsid w:val="0A5359E5"/>
    <w:rsid w:val="0A6A2A4B"/>
    <w:rsid w:val="0A8941B2"/>
    <w:rsid w:val="0A9D666F"/>
    <w:rsid w:val="0AD57593"/>
    <w:rsid w:val="0AE463D7"/>
    <w:rsid w:val="0AEB3CF1"/>
    <w:rsid w:val="0AEB5E2A"/>
    <w:rsid w:val="0AF21165"/>
    <w:rsid w:val="0AFB5144"/>
    <w:rsid w:val="0B08583F"/>
    <w:rsid w:val="0B2C4CAA"/>
    <w:rsid w:val="0B3643CE"/>
    <w:rsid w:val="0B4B7E79"/>
    <w:rsid w:val="0B8931A1"/>
    <w:rsid w:val="0B9679B3"/>
    <w:rsid w:val="0B994EA4"/>
    <w:rsid w:val="0B9D63F6"/>
    <w:rsid w:val="0BDA11FD"/>
    <w:rsid w:val="0BEB655E"/>
    <w:rsid w:val="0BF8033E"/>
    <w:rsid w:val="0C3A451F"/>
    <w:rsid w:val="0C4A279C"/>
    <w:rsid w:val="0C542D5E"/>
    <w:rsid w:val="0C582C56"/>
    <w:rsid w:val="0C950978"/>
    <w:rsid w:val="0CE10B87"/>
    <w:rsid w:val="0CF76D88"/>
    <w:rsid w:val="0CFA3905"/>
    <w:rsid w:val="0CFF6FD7"/>
    <w:rsid w:val="0D017CC7"/>
    <w:rsid w:val="0D0B7B10"/>
    <w:rsid w:val="0D0C188A"/>
    <w:rsid w:val="0D591211"/>
    <w:rsid w:val="0DB853E2"/>
    <w:rsid w:val="0DD00B0A"/>
    <w:rsid w:val="0DED16BC"/>
    <w:rsid w:val="0DF86685"/>
    <w:rsid w:val="0E0D58BA"/>
    <w:rsid w:val="0E107158"/>
    <w:rsid w:val="0E6179B4"/>
    <w:rsid w:val="0E634CDA"/>
    <w:rsid w:val="0ED62150"/>
    <w:rsid w:val="0EFE3455"/>
    <w:rsid w:val="0F362BEE"/>
    <w:rsid w:val="0F583A9D"/>
    <w:rsid w:val="0F987405"/>
    <w:rsid w:val="0FA83B24"/>
    <w:rsid w:val="0FBF6BD6"/>
    <w:rsid w:val="0FF16544"/>
    <w:rsid w:val="101860EC"/>
    <w:rsid w:val="10637D6D"/>
    <w:rsid w:val="10780801"/>
    <w:rsid w:val="109878A5"/>
    <w:rsid w:val="109E4EEF"/>
    <w:rsid w:val="10C055FF"/>
    <w:rsid w:val="10D03AEA"/>
    <w:rsid w:val="1100110B"/>
    <w:rsid w:val="11247572"/>
    <w:rsid w:val="112C1239"/>
    <w:rsid w:val="11566AC8"/>
    <w:rsid w:val="118107EC"/>
    <w:rsid w:val="120C2F43"/>
    <w:rsid w:val="120D2B40"/>
    <w:rsid w:val="120E1C01"/>
    <w:rsid w:val="12154A9F"/>
    <w:rsid w:val="121D4A46"/>
    <w:rsid w:val="124311D7"/>
    <w:rsid w:val="12557610"/>
    <w:rsid w:val="125910CE"/>
    <w:rsid w:val="128338AB"/>
    <w:rsid w:val="12B24C82"/>
    <w:rsid w:val="12B66520"/>
    <w:rsid w:val="12C56763"/>
    <w:rsid w:val="12CF3D5F"/>
    <w:rsid w:val="13147372"/>
    <w:rsid w:val="131E2317"/>
    <w:rsid w:val="13236A06"/>
    <w:rsid w:val="13347445"/>
    <w:rsid w:val="133E14F9"/>
    <w:rsid w:val="13A22600"/>
    <w:rsid w:val="13A303FD"/>
    <w:rsid w:val="13A617EF"/>
    <w:rsid w:val="13D50BC4"/>
    <w:rsid w:val="14086083"/>
    <w:rsid w:val="140F7BE3"/>
    <w:rsid w:val="148245B3"/>
    <w:rsid w:val="14A27202"/>
    <w:rsid w:val="14E46C49"/>
    <w:rsid w:val="14FB2C15"/>
    <w:rsid w:val="1517719C"/>
    <w:rsid w:val="152139F9"/>
    <w:rsid w:val="15473801"/>
    <w:rsid w:val="154C3A3E"/>
    <w:rsid w:val="155C542E"/>
    <w:rsid w:val="157B75AD"/>
    <w:rsid w:val="15C351CF"/>
    <w:rsid w:val="16021CAC"/>
    <w:rsid w:val="164D3434"/>
    <w:rsid w:val="16842491"/>
    <w:rsid w:val="168626AD"/>
    <w:rsid w:val="1686545A"/>
    <w:rsid w:val="16976668"/>
    <w:rsid w:val="16BB723D"/>
    <w:rsid w:val="16FE2244"/>
    <w:rsid w:val="170C1CB4"/>
    <w:rsid w:val="171E204A"/>
    <w:rsid w:val="17357223"/>
    <w:rsid w:val="17575DF8"/>
    <w:rsid w:val="175C666A"/>
    <w:rsid w:val="175E60BD"/>
    <w:rsid w:val="177F658E"/>
    <w:rsid w:val="179F1187"/>
    <w:rsid w:val="17EA07CD"/>
    <w:rsid w:val="18007C69"/>
    <w:rsid w:val="184C176C"/>
    <w:rsid w:val="18512847"/>
    <w:rsid w:val="188126FA"/>
    <w:rsid w:val="18ED07C2"/>
    <w:rsid w:val="190774DE"/>
    <w:rsid w:val="190B3121"/>
    <w:rsid w:val="190B50EC"/>
    <w:rsid w:val="192D01A1"/>
    <w:rsid w:val="192D7318"/>
    <w:rsid w:val="194D55A9"/>
    <w:rsid w:val="195A634B"/>
    <w:rsid w:val="197E6361"/>
    <w:rsid w:val="19E42B0F"/>
    <w:rsid w:val="1A09162B"/>
    <w:rsid w:val="1A472073"/>
    <w:rsid w:val="1A6C043C"/>
    <w:rsid w:val="1A970737"/>
    <w:rsid w:val="1AA826DE"/>
    <w:rsid w:val="1AD05A9D"/>
    <w:rsid w:val="1B4346C9"/>
    <w:rsid w:val="1B777B18"/>
    <w:rsid w:val="1BC577D4"/>
    <w:rsid w:val="1BCC7441"/>
    <w:rsid w:val="1BE8440E"/>
    <w:rsid w:val="1C373E65"/>
    <w:rsid w:val="1C5F7219"/>
    <w:rsid w:val="1C627E7C"/>
    <w:rsid w:val="1C782A98"/>
    <w:rsid w:val="1CAE1346"/>
    <w:rsid w:val="1D155CEE"/>
    <w:rsid w:val="1D216C8C"/>
    <w:rsid w:val="1D3C43D4"/>
    <w:rsid w:val="1D96278E"/>
    <w:rsid w:val="1DB42AC3"/>
    <w:rsid w:val="1DDD426C"/>
    <w:rsid w:val="1DDE4D35"/>
    <w:rsid w:val="1E1706F2"/>
    <w:rsid w:val="1E2C0141"/>
    <w:rsid w:val="1E2F5FFD"/>
    <w:rsid w:val="1E4008E9"/>
    <w:rsid w:val="1E7600AF"/>
    <w:rsid w:val="1E94348E"/>
    <w:rsid w:val="1EC16A57"/>
    <w:rsid w:val="1EC41F93"/>
    <w:rsid w:val="1EF00226"/>
    <w:rsid w:val="1EF328AA"/>
    <w:rsid w:val="1F170F70"/>
    <w:rsid w:val="1F2246B6"/>
    <w:rsid w:val="1F3225AD"/>
    <w:rsid w:val="1F5D4879"/>
    <w:rsid w:val="1F8B27BE"/>
    <w:rsid w:val="1F956993"/>
    <w:rsid w:val="1FE80C1C"/>
    <w:rsid w:val="20136BAE"/>
    <w:rsid w:val="202A75B5"/>
    <w:rsid w:val="203171E6"/>
    <w:rsid w:val="20387645"/>
    <w:rsid w:val="203B74FB"/>
    <w:rsid w:val="20407429"/>
    <w:rsid w:val="206B0FC3"/>
    <w:rsid w:val="20886E5B"/>
    <w:rsid w:val="208A6731"/>
    <w:rsid w:val="20941067"/>
    <w:rsid w:val="20A60562"/>
    <w:rsid w:val="2103437E"/>
    <w:rsid w:val="210836A6"/>
    <w:rsid w:val="215A23D6"/>
    <w:rsid w:val="21620979"/>
    <w:rsid w:val="21A722D1"/>
    <w:rsid w:val="21AB59B0"/>
    <w:rsid w:val="21AE4866"/>
    <w:rsid w:val="21B566B1"/>
    <w:rsid w:val="21C13011"/>
    <w:rsid w:val="21FC56E5"/>
    <w:rsid w:val="22702B51"/>
    <w:rsid w:val="22814EF8"/>
    <w:rsid w:val="22877591"/>
    <w:rsid w:val="22B21331"/>
    <w:rsid w:val="22C64F8A"/>
    <w:rsid w:val="22FF7A6F"/>
    <w:rsid w:val="23334B88"/>
    <w:rsid w:val="23360FB7"/>
    <w:rsid w:val="23581F14"/>
    <w:rsid w:val="23860B96"/>
    <w:rsid w:val="23AB259A"/>
    <w:rsid w:val="23F511B0"/>
    <w:rsid w:val="240371BF"/>
    <w:rsid w:val="24121303"/>
    <w:rsid w:val="242B4E6A"/>
    <w:rsid w:val="243E0123"/>
    <w:rsid w:val="244F40DF"/>
    <w:rsid w:val="245D4B76"/>
    <w:rsid w:val="2494293C"/>
    <w:rsid w:val="24D252AE"/>
    <w:rsid w:val="24DC03F6"/>
    <w:rsid w:val="24EB0DA0"/>
    <w:rsid w:val="258660A0"/>
    <w:rsid w:val="25B61F3B"/>
    <w:rsid w:val="25CB3BAE"/>
    <w:rsid w:val="25F94A58"/>
    <w:rsid w:val="2602467A"/>
    <w:rsid w:val="261A071C"/>
    <w:rsid w:val="26355050"/>
    <w:rsid w:val="265C3FE5"/>
    <w:rsid w:val="26727FA6"/>
    <w:rsid w:val="267F0C45"/>
    <w:rsid w:val="269811C6"/>
    <w:rsid w:val="26A3656C"/>
    <w:rsid w:val="26AF42B7"/>
    <w:rsid w:val="26B03A18"/>
    <w:rsid w:val="26CA58D5"/>
    <w:rsid w:val="270B551B"/>
    <w:rsid w:val="271E7F7C"/>
    <w:rsid w:val="273B01E1"/>
    <w:rsid w:val="27642A71"/>
    <w:rsid w:val="2769103F"/>
    <w:rsid w:val="27E46470"/>
    <w:rsid w:val="27F356C9"/>
    <w:rsid w:val="27F4193C"/>
    <w:rsid w:val="28287660"/>
    <w:rsid w:val="28777D83"/>
    <w:rsid w:val="28951DB4"/>
    <w:rsid w:val="28C46D5E"/>
    <w:rsid w:val="294F5B72"/>
    <w:rsid w:val="295B1778"/>
    <w:rsid w:val="29784F78"/>
    <w:rsid w:val="297D7684"/>
    <w:rsid w:val="29870076"/>
    <w:rsid w:val="29914542"/>
    <w:rsid w:val="29A053DC"/>
    <w:rsid w:val="29E31034"/>
    <w:rsid w:val="29E72052"/>
    <w:rsid w:val="29EE0C29"/>
    <w:rsid w:val="29F9242E"/>
    <w:rsid w:val="29FD04D3"/>
    <w:rsid w:val="2A022DF9"/>
    <w:rsid w:val="2A282BFE"/>
    <w:rsid w:val="2A7A3E7F"/>
    <w:rsid w:val="2AA56946"/>
    <w:rsid w:val="2ACB7676"/>
    <w:rsid w:val="2ADC4947"/>
    <w:rsid w:val="2AF9626D"/>
    <w:rsid w:val="2AFA0B1C"/>
    <w:rsid w:val="2B1D3303"/>
    <w:rsid w:val="2B5B780D"/>
    <w:rsid w:val="2B6265B5"/>
    <w:rsid w:val="2B6F4D95"/>
    <w:rsid w:val="2B714350"/>
    <w:rsid w:val="2B9845BD"/>
    <w:rsid w:val="2BCE7FDF"/>
    <w:rsid w:val="2BE45A54"/>
    <w:rsid w:val="2BF10171"/>
    <w:rsid w:val="2C0C6D59"/>
    <w:rsid w:val="2C1005F7"/>
    <w:rsid w:val="2C1C3440"/>
    <w:rsid w:val="2C297706"/>
    <w:rsid w:val="2C66290D"/>
    <w:rsid w:val="2C6E53EA"/>
    <w:rsid w:val="2C765440"/>
    <w:rsid w:val="2C82701B"/>
    <w:rsid w:val="2C874978"/>
    <w:rsid w:val="2C8A61B5"/>
    <w:rsid w:val="2CAD67B0"/>
    <w:rsid w:val="2CE40EE6"/>
    <w:rsid w:val="2D36699D"/>
    <w:rsid w:val="2D3D7BFC"/>
    <w:rsid w:val="2D652BC5"/>
    <w:rsid w:val="2DD12008"/>
    <w:rsid w:val="2DE95CBC"/>
    <w:rsid w:val="2DF04E50"/>
    <w:rsid w:val="2DF124D2"/>
    <w:rsid w:val="2E0223DD"/>
    <w:rsid w:val="2E0C4DEE"/>
    <w:rsid w:val="2E304A6F"/>
    <w:rsid w:val="2E3C5EB8"/>
    <w:rsid w:val="2E516CA5"/>
    <w:rsid w:val="2E5B0A62"/>
    <w:rsid w:val="2E786DB1"/>
    <w:rsid w:val="2E832C1B"/>
    <w:rsid w:val="2E8A6D89"/>
    <w:rsid w:val="2E8B21B7"/>
    <w:rsid w:val="2E9665D0"/>
    <w:rsid w:val="2E9F5CE5"/>
    <w:rsid w:val="2EB034A2"/>
    <w:rsid w:val="2EB86CC3"/>
    <w:rsid w:val="2F3A3BDD"/>
    <w:rsid w:val="2F5A4D7F"/>
    <w:rsid w:val="2F6A254A"/>
    <w:rsid w:val="2F6E759F"/>
    <w:rsid w:val="2F7B36D1"/>
    <w:rsid w:val="2FC173DB"/>
    <w:rsid w:val="2FC94C45"/>
    <w:rsid w:val="2FD663AB"/>
    <w:rsid w:val="2FE970DD"/>
    <w:rsid w:val="30352AA7"/>
    <w:rsid w:val="303625F7"/>
    <w:rsid w:val="305619E6"/>
    <w:rsid w:val="30640F12"/>
    <w:rsid w:val="306D203E"/>
    <w:rsid w:val="306E3B3E"/>
    <w:rsid w:val="30703D5A"/>
    <w:rsid w:val="309450D8"/>
    <w:rsid w:val="30B22105"/>
    <w:rsid w:val="30D836AE"/>
    <w:rsid w:val="30E16A06"/>
    <w:rsid w:val="31295CB7"/>
    <w:rsid w:val="31297687"/>
    <w:rsid w:val="314C5D92"/>
    <w:rsid w:val="31510E66"/>
    <w:rsid w:val="316F31FB"/>
    <w:rsid w:val="317A39CD"/>
    <w:rsid w:val="317B1BF7"/>
    <w:rsid w:val="319F7F4E"/>
    <w:rsid w:val="31AB2B70"/>
    <w:rsid w:val="31D97B4F"/>
    <w:rsid w:val="31DC5A45"/>
    <w:rsid w:val="31F369F1"/>
    <w:rsid w:val="31F9125D"/>
    <w:rsid w:val="322449F5"/>
    <w:rsid w:val="323549FE"/>
    <w:rsid w:val="324C26FE"/>
    <w:rsid w:val="325E3C14"/>
    <w:rsid w:val="32722728"/>
    <w:rsid w:val="32B674A4"/>
    <w:rsid w:val="32C24615"/>
    <w:rsid w:val="32CA60D9"/>
    <w:rsid w:val="32FA3B5F"/>
    <w:rsid w:val="331326B1"/>
    <w:rsid w:val="336677B0"/>
    <w:rsid w:val="336D4586"/>
    <w:rsid w:val="33FB7298"/>
    <w:rsid w:val="34316A85"/>
    <w:rsid w:val="34412B8A"/>
    <w:rsid w:val="345B7EAA"/>
    <w:rsid w:val="34620B5F"/>
    <w:rsid w:val="346E0D63"/>
    <w:rsid w:val="34A75871"/>
    <w:rsid w:val="34F767F8"/>
    <w:rsid w:val="353B0AF3"/>
    <w:rsid w:val="35417A12"/>
    <w:rsid w:val="358205D2"/>
    <w:rsid w:val="3596288A"/>
    <w:rsid w:val="359F7AA1"/>
    <w:rsid w:val="35B4533B"/>
    <w:rsid w:val="35BA7253"/>
    <w:rsid w:val="35C33AF2"/>
    <w:rsid w:val="35DC779C"/>
    <w:rsid w:val="35DE52C2"/>
    <w:rsid w:val="36293C68"/>
    <w:rsid w:val="363475D8"/>
    <w:rsid w:val="36390C1D"/>
    <w:rsid w:val="363D1CC9"/>
    <w:rsid w:val="36755B1F"/>
    <w:rsid w:val="36A862C5"/>
    <w:rsid w:val="36AA5135"/>
    <w:rsid w:val="36E55E6D"/>
    <w:rsid w:val="36F058C5"/>
    <w:rsid w:val="37075FB1"/>
    <w:rsid w:val="370C40B1"/>
    <w:rsid w:val="373D070E"/>
    <w:rsid w:val="375A306E"/>
    <w:rsid w:val="37737C8C"/>
    <w:rsid w:val="378508D2"/>
    <w:rsid w:val="37CA35F9"/>
    <w:rsid w:val="37D91F55"/>
    <w:rsid w:val="37E16F03"/>
    <w:rsid w:val="37EE502E"/>
    <w:rsid w:val="37EE674F"/>
    <w:rsid w:val="37F76B0F"/>
    <w:rsid w:val="37F94635"/>
    <w:rsid w:val="382044C2"/>
    <w:rsid w:val="38225942"/>
    <w:rsid w:val="383C4522"/>
    <w:rsid w:val="386F2B4A"/>
    <w:rsid w:val="388471BB"/>
    <w:rsid w:val="389A3768"/>
    <w:rsid w:val="38AF451F"/>
    <w:rsid w:val="38C06F01"/>
    <w:rsid w:val="38EC7CF6"/>
    <w:rsid w:val="38FD1F3E"/>
    <w:rsid w:val="3925781E"/>
    <w:rsid w:val="39371B65"/>
    <w:rsid w:val="39416D08"/>
    <w:rsid w:val="39416E08"/>
    <w:rsid w:val="39500C5F"/>
    <w:rsid w:val="399A707F"/>
    <w:rsid w:val="39B001F4"/>
    <w:rsid w:val="39B91B77"/>
    <w:rsid w:val="39D02B98"/>
    <w:rsid w:val="39EA4529"/>
    <w:rsid w:val="3A0B7CE9"/>
    <w:rsid w:val="3A29564D"/>
    <w:rsid w:val="3A2D05C6"/>
    <w:rsid w:val="3A5A6066"/>
    <w:rsid w:val="3B0F06B9"/>
    <w:rsid w:val="3B10327D"/>
    <w:rsid w:val="3B137D3D"/>
    <w:rsid w:val="3B23141D"/>
    <w:rsid w:val="3B3F2D9C"/>
    <w:rsid w:val="3B5924A3"/>
    <w:rsid w:val="3B753ABB"/>
    <w:rsid w:val="3B7F68EF"/>
    <w:rsid w:val="3BAD6CAE"/>
    <w:rsid w:val="3BC264E4"/>
    <w:rsid w:val="3BC46D08"/>
    <w:rsid w:val="3BFB7CBF"/>
    <w:rsid w:val="3C096E11"/>
    <w:rsid w:val="3C66006D"/>
    <w:rsid w:val="3C9F5CDF"/>
    <w:rsid w:val="3CAD21A3"/>
    <w:rsid w:val="3CAD3C40"/>
    <w:rsid w:val="3CC079C0"/>
    <w:rsid w:val="3CC5515A"/>
    <w:rsid w:val="3CD218F9"/>
    <w:rsid w:val="3CD769EB"/>
    <w:rsid w:val="3D185A4B"/>
    <w:rsid w:val="3D34657B"/>
    <w:rsid w:val="3D491AEC"/>
    <w:rsid w:val="3D4A15BA"/>
    <w:rsid w:val="3D5677DB"/>
    <w:rsid w:val="3D6B4F0A"/>
    <w:rsid w:val="3D7931DD"/>
    <w:rsid w:val="3D817A56"/>
    <w:rsid w:val="3D98207C"/>
    <w:rsid w:val="3DA37748"/>
    <w:rsid w:val="3DBF44D4"/>
    <w:rsid w:val="3DD86A9B"/>
    <w:rsid w:val="3DF37CF3"/>
    <w:rsid w:val="3E0B1F51"/>
    <w:rsid w:val="3E587BDC"/>
    <w:rsid w:val="3E601364"/>
    <w:rsid w:val="3E6807DD"/>
    <w:rsid w:val="3E846C23"/>
    <w:rsid w:val="3E891976"/>
    <w:rsid w:val="3EA11583"/>
    <w:rsid w:val="3EA96396"/>
    <w:rsid w:val="3ECA6436"/>
    <w:rsid w:val="3F0C0CFE"/>
    <w:rsid w:val="3F477781"/>
    <w:rsid w:val="3F696545"/>
    <w:rsid w:val="3F6F51DD"/>
    <w:rsid w:val="3F7EE8AB"/>
    <w:rsid w:val="3F80156C"/>
    <w:rsid w:val="3F917849"/>
    <w:rsid w:val="3FDC0668"/>
    <w:rsid w:val="409F41D0"/>
    <w:rsid w:val="40A3703C"/>
    <w:rsid w:val="41005A17"/>
    <w:rsid w:val="413F350F"/>
    <w:rsid w:val="415758EA"/>
    <w:rsid w:val="41984361"/>
    <w:rsid w:val="41AB32D7"/>
    <w:rsid w:val="41C363C0"/>
    <w:rsid w:val="41C55588"/>
    <w:rsid w:val="42071BC1"/>
    <w:rsid w:val="420D23F2"/>
    <w:rsid w:val="42537530"/>
    <w:rsid w:val="42A17BA0"/>
    <w:rsid w:val="42B2610B"/>
    <w:rsid w:val="42D75573"/>
    <w:rsid w:val="42DA32B5"/>
    <w:rsid w:val="430F7403"/>
    <w:rsid w:val="43364990"/>
    <w:rsid w:val="433C214E"/>
    <w:rsid w:val="435E1BAB"/>
    <w:rsid w:val="438020AF"/>
    <w:rsid w:val="43906309"/>
    <w:rsid w:val="43BF1A33"/>
    <w:rsid w:val="43D54207"/>
    <w:rsid w:val="43DF5653"/>
    <w:rsid w:val="44427364"/>
    <w:rsid w:val="44533B52"/>
    <w:rsid w:val="44623EA1"/>
    <w:rsid w:val="44625310"/>
    <w:rsid w:val="447F5DD9"/>
    <w:rsid w:val="449175A0"/>
    <w:rsid w:val="44B10979"/>
    <w:rsid w:val="44B313D5"/>
    <w:rsid w:val="44B96A48"/>
    <w:rsid w:val="44E268DA"/>
    <w:rsid w:val="44E96D40"/>
    <w:rsid w:val="450E44FF"/>
    <w:rsid w:val="451D3288"/>
    <w:rsid w:val="45482758"/>
    <w:rsid w:val="455B5A6C"/>
    <w:rsid w:val="457C2FEA"/>
    <w:rsid w:val="45800290"/>
    <w:rsid w:val="45992FB4"/>
    <w:rsid w:val="459F3E60"/>
    <w:rsid w:val="45AA2346"/>
    <w:rsid w:val="45B24076"/>
    <w:rsid w:val="45B93139"/>
    <w:rsid w:val="45C14311"/>
    <w:rsid w:val="45E26A62"/>
    <w:rsid w:val="45EA4266"/>
    <w:rsid w:val="45F91CA4"/>
    <w:rsid w:val="46170428"/>
    <w:rsid w:val="462E7BA0"/>
    <w:rsid w:val="465F41FD"/>
    <w:rsid w:val="46703D65"/>
    <w:rsid w:val="4678706D"/>
    <w:rsid w:val="46B14E89"/>
    <w:rsid w:val="46B93390"/>
    <w:rsid w:val="46CA2500"/>
    <w:rsid w:val="46CC2A76"/>
    <w:rsid w:val="46CE30E3"/>
    <w:rsid w:val="46E252F4"/>
    <w:rsid w:val="46FD7572"/>
    <w:rsid w:val="47555616"/>
    <w:rsid w:val="475A38EF"/>
    <w:rsid w:val="475C24EB"/>
    <w:rsid w:val="47AE261E"/>
    <w:rsid w:val="47B40579"/>
    <w:rsid w:val="483A4CFE"/>
    <w:rsid w:val="48422CAA"/>
    <w:rsid w:val="484418FD"/>
    <w:rsid w:val="485E2293"/>
    <w:rsid w:val="48912668"/>
    <w:rsid w:val="48AD2449"/>
    <w:rsid w:val="48B84099"/>
    <w:rsid w:val="48F56C28"/>
    <w:rsid w:val="4900334A"/>
    <w:rsid w:val="49026BF4"/>
    <w:rsid w:val="4929729E"/>
    <w:rsid w:val="49301674"/>
    <w:rsid w:val="49747FC0"/>
    <w:rsid w:val="4980029E"/>
    <w:rsid w:val="49804BB7"/>
    <w:rsid w:val="49987A1D"/>
    <w:rsid w:val="49A95C97"/>
    <w:rsid w:val="49B760FE"/>
    <w:rsid w:val="49C83E68"/>
    <w:rsid w:val="49D62A28"/>
    <w:rsid w:val="49EE6BC1"/>
    <w:rsid w:val="4A090D61"/>
    <w:rsid w:val="4A1B043B"/>
    <w:rsid w:val="4A493C6D"/>
    <w:rsid w:val="4A55651B"/>
    <w:rsid w:val="4A5C478F"/>
    <w:rsid w:val="4A627F82"/>
    <w:rsid w:val="4A8978D6"/>
    <w:rsid w:val="4AB8688C"/>
    <w:rsid w:val="4ACD7E87"/>
    <w:rsid w:val="4AED6BB2"/>
    <w:rsid w:val="4B182BCD"/>
    <w:rsid w:val="4B313C8F"/>
    <w:rsid w:val="4B335231"/>
    <w:rsid w:val="4B4F25DA"/>
    <w:rsid w:val="4B5F12F0"/>
    <w:rsid w:val="4B865B7B"/>
    <w:rsid w:val="4B8B1BE4"/>
    <w:rsid w:val="4BE068DB"/>
    <w:rsid w:val="4C177197"/>
    <w:rsid w:val="4C65047B"/>
    <w:rsid w:val="4C9E36E7"/>
    <w:rsid w:val="4CBB3FE4"/>
    <w:rsid w:val="4CF431C6"/>
    <w:rsid w:val="4D0A4797"/>
    <w:rsid w:val="4D127DD4"/>
    <w:rsid w:val="4D1C24B3"/>
    <w:rsid w:val="4D2C371A"/>
    <w:rsid w:val="4D2E761D"/>
    <w:rsid w:val="4D491D51"/>
    <w:rsid w:val="4D577224"/>
    <w:rsid w:val="4D593BAF"/>
    <w:rsid w:val="4D5C7782"/>
    <w:rsid w:val="4D655B01"/>
    <w:rsid w:val="4DA236C6"/>
    <w:rsid w:val="4DB80796"/>
    <w:rsid w:val="4DF22F0D"/>
    <w:rsid w:val="4E097D1B"/>
    <w:rsid w:val="4E830CA5"/>
    <w:rsid w:val="4E8A341E"/>
    <w:rsid w:val="4E8E297B"/>
    <w:rsid w:val="4E936CC3"/>
    <w:rsid w:val="4EAB630A"/>
    <w:rsid w:val="4EC76BAD"/>
    <w:rsid w:val="4ECE2238"/>
    <w:rsid w:val="4EF50329"/>
    <w:rsid w:val="4F047BAB"/>
    <w:rsid w:val="4F052F49"/>
    <w:rsid w:val="4F4934E4"/>
    <w:rsid w:val="4F4A4279"/>
    <w:rsid w:val="4F754A92"/>
    <w:rsid w:val="4F7F46A4"/>
    <w:rsid w:val="4F956FB8"/>
    <w:rsid w:val="4F976C0B"/>
    <w:rsid w:val="4FBF5D0D"/>
    <w:rsid w:val="4FC17592"/>
    <w:rsid w:val="4FF30B37"/>
    <w:rsid w:val="50074618"/>
    <w:rsid w:val="50143339"/>
    <w:rsid w:val="502344EE"/>
    <w:rsid w:val="505C17AE"/>
    <w:rsid w:val="507129EE"/>
    <w:rsid w:val="50726BE2"/>
    <w:rsid w:val="50B138A7"/>
    <w:rsid w:val="50B43E19"/>
    <w:rsid w:val="51053BF3"/>
    <w:rsid w:val="51140E39"/>
    <w:rsid w:val="511C4711"/>
    <w:rsid w:val="51482FC2"/>
    <w:rsid w:val="514A5AAA"/>
    <w:rsid w:val="5187285A"/>
    <w:rsid w:val="51B52B4F"/>
    <w:rsid w:val="51B7313F"/>
    <w:rsid w:val="51C413B8"/>
    <w:rsid w:val="51C96547"/>
    <w:rsid w:val="51CD3E1C"/>
    <w:rsid w:val="520B69A2"/>
    <w:rsid w:val="523A6B73"/>
    <w:rsid w:val="52515F5F"/>
    <w:rsid w:val="52635075"/>
    <w:rsid w:val="526C7952"/>
    <w:rsid w:val="526F7C67"/>
    <w:rsid w:val="527E0EB0"/>
    <w:rsid w:val="528F37A9"/>
    <w:rsid w:val="52CC2C1B"/>
    <w:rsid w:val="52D73782"/>
    <w:rsid w:val="52DC4C82"/>
    <w:rsid w:val="52E74C6B"/>
    <w:rsid w:val="532A7941"/>
    <w:rsid w:val="53707615"/>
    <w:rsid w:val="53AD493B"/>
    <w:rsid w:val="53B02F5D"/>
    <w:rsid w:val="53C42DF5"/>
    <w:rsid w:val="53C4517A"/>
    <w:rsid w:val="541F6948"/>
    <w:rsid w:val="54224ABC"/>
    <w:rsid w:val="54245470"/>
    <w:rsid w:val="54340214"/>
    <w:rsid w:val="54424EA8"/>
    <w:rsid w:val="545A24A8"/>
    <w:rsid w:val="545D5732"/>
    <w:rsid w:val="54700059"/>
    <w:rsid w:val="54912359"/>
    <w:rsid w:val="55055D74"/>
    <w:rsid w:val="5537017E"/>
    <w:rsid w:val="55852E44"/>
    <w:rsid w:val="55A31FD5"/>
    <w:rsid w:val="55A439DB"/>
    <w:rsid w:val="55BC2EA8"/>
    <w:rsid w:val="55BD2CEE"/>
    <w:rsid w:val="55F3BF69"/>
    <w:rsid w:val="56091FB9"/>
    <w:rsid w:val="5617611C"/>
    <w:rsid w:val="56290384"/>
    <w:rsid w:val="56426971"/>
    <w:rsid w:val="565D4920"/>
    <w:rsid w:val="567304B2"/>
    <w:rsid w:val="56755377"/>
    <w:rsid w:val="5701035C"/>
    <w:rsid w:val="57014E5D"/>
    <w:rsid w:val="57072D8F"/>
    <w:rsid w:val="57193F55"/>
    <w:rsid w:val="573F74BB"/>
    <w:rsid w:val="57641F8B"/>
    <w:rsid w:val="577B46D9"/>
    <w:rsid w:val="58030761"/>
    <w:rsid w:val="585D60C3"/>
    <w:rsid w:val="586236D9"/>
    <w:rsid w:val="58655A7F"/>
    <w:rsid w:val="58795E3F"/>
    <w:rsid w:val="58A543E5"/>
    <w:rsid w:val="58C43ACB"/>
    <w:rsid w:val="58E273F8"/>
    <w:rsid w:val="59145FD3"/>
    <w:rsid w:val="59414694"/>
    <w:rsid w:val="59457D7D"/>
    <w:rsid w:val="59890163"/>
    <w:rsid w:val="59AA4345"/>
    <w:rsid w:val="59F6057D"/>
    <w:rsid w:val="5A426801"/>
    <w:rsid w:val="5A4B256F"/>
    <w:rsid w:val="5AC62618"/>
    <w:rsid w:val="5AF92295"/>
    <w:rsid w:val="5B377EB4"/>
    <w:rsid w:val="5B3D4CC4"/>
    <w:rsid w:val="5B435A44"/>
    <w:rsid w:val="5B9423F3"/>
    <w:rsid w:val="5BBC74D9"/>
    <w:rsid w:val="5BBD6FC7"/>
    <w:rsid w:val="5BDB360F"/>
    <w:rsid w:val="5BF11081"/>
    <w:rsid w:val="5C135D05"/>
    <w:rsid w:val="5C2207EF"/>
    <w:rsid w:val="5C31336B"/>
    <w:rsid w:val="5C3E5DB0"/>
    <w:rsid w:val="5C5767DD"/>
    <w:rsid w:val="5C6A5252"/>
    <w:rsid w:val="5C755CF7"/>
    <w:rsid w:val="5CA0283D"/>
    <w:rsid w:val="5CD71FC4"/>
    <w:rsid w:val="5D1B0D83"/>
    <w:rsid w:val="5D3416F4"/>
    <w:rsid w:val="5D5C1735"/>
    <w:rsid w:val="5D7C4ADC"/>
    <w:rsid w:val="5D94717A"/>
    <w:rsid w:val="5DA42896"/>
    <w:rsid w:val="5DCD3CEB"/>
    <w:rsid w:val="5E026DBE"/>
    <w:rsid w:val="5E1A3ACD"/>
    <w:rsid w:val="5E286A9B"/>
    <w:rsid w:val="5E7E2B8A"/>
    <w:rsid w:val="5EA42C9D"/>
    <w:rsid w:val="5EB07FD7"/>
    <w:rsid w:val="5EE42A89"/>
    <w:rsid w:val="5F2345A8"/>
    <w:rsid w:val="5F3950E4"/>
    <w:rsid w:val="5F812FDF"/>
    <w:rsid w:val="5F8D3732"/>
    <w:rsid w:val="5FD638C8"/>
    <w:rsid w:val="5FE5531C"/>
    <w:rsid w:val="5FED05CC"/>
    <w:rsid w:val="603A201A"/>
    <w:rsid w:val="606A17B2"/>
    <w:rsid w:val="60746C09"/>
    <w:rsid w:val="60837687"/>
    <w:rsid w:val="608D1166"/>
    <w:rsid w:val="60CB661A"/>
    <w:rsid w:val="60D42634"/>
    <w:rsid w:val="60E60DB7"/>
    <w:rsid w:val="610E08A2"/>
    <w:rsid w:val="61202383"/>
    <w:rsid w:val="61463829"/>
    <w:rsid w:val="614F7FD9"/>
    <w:rsid w:val="61550EA9"/>
    <w:rsid w:val="61AD2EE0"/>
    <w:rsid w:val="62215969"/>
    <w:rsid w:val="6224351F"/>
    <w:rsid w:val="62467333"/>
    <w:rsid w:val="624A3B84"/>
    <w:rsid w:val="62522A10"/>
    <w:rsid w:val="625574BA"/>
    <w:rsid w:val="62600C89"/>
    <w:rsid w:val="62937364"/>
    <w:rsid w:val="62B02F01"/>
    <w:rsid w:val="62ED5038"/>
    <w:rsid w:val="62F34A5A"/>
    <w:rsid w:val="62FA0AFC"/>
    <w:rsid w:val="631E5FBA"/>
    <w:rsid w:val="6329551F"/>
    <w:rsid w:val="636A4F2C"/>
    <w:rsid w:val="63A90E47"/>
    <w:rsid w:val="63C1057E"/>
    <w:rsid w:val="63D85804"/>
    <w:rsid w:val="63EC401A"/>
    <w:rsid w:val="64025452"/>
    <w:rsid w:val="640A547F"/>
    <w:rsid w:val="64122457"/>
    <w:rsid w:val="6420738E"/>
    <w:rsid w:val="64351374"/>
    <w:rsid w:val="644D72E0"/>
    <w:rsid w:val="64813139"/>
    <w:rsid w:val="64A84B6A"/>
    <w:rsid w:val="64BC7713"/>
    <w:rsid w:val="64D07AC7"/>
    <w:rsid w:val="65183A9D"/>
    <w:rsid w:val="65222B6E"/>
    <w:rsid w:val="653F581F"/>
    <w:rsid w:val="655B2F90"/>
    <w:rsid w:val="655E5F7B"/>
    <w:rsid w:val="65902E43"/>
    <w:rsid w:val="65BF157C"/>
    <w:rsid w:val="65C14135"/>
    <w:rsid w:val="65CE68DA"/>
    <w:rsid w:val="65D271FA"/>
    <w:rsid w:val="662C6867"/>
    <w:rsid w:val="66376316"/>
    <w:rsid w:val="667D115E"/>
    <w:rsid w:val="6685490C"/>
    <w:rsid w:val="66AC4B5E"/>
    <w:rsid w:val="66E9031E"/>
    <w:rsid w:val="66EA1469"/>
    <w:rsid w:val="67136B65"/>
    <w:rsid w:val="672D5A67"/>
    <w:rsid w:val="67483212"/>
    <w:rsid w:val="67615FF4"/>
    <w:rsid w:val="681327CD"/>
    <w:rsid w:val="683814B0"/>
    <w:rsid w:val="683A01CF"/>
    <w:rsid w:val="685A05BA"/>
    <w:rsid w:val="6887341D"/>
    <w:rsid w:val="68A66FBF"/>
    <w:rsid w:val="68AC4BEE"/>
    <w:rsid w:val="68AF64C7"/>
    <w:rsid w:val="68C87588"/>
    <w:rsid w:val="68F610E5"/>
    <w:rsid w:val="68F6116F"/>
    <w:rsid w:val="68FC2370"/>
    <w:rsid w:val="693D0C00"/>
    <w:rsid w:val="69673828"/>
    <w:rsid w:val="69835B23"/>
    <w:rsid w:val="69D9190D"/>
    <w:rsid w:val="69E7279E"/>
    <w:rsid w:val="6A1508FA"/>
    <w:rsid w:val="6A482602"/>
    <w:rsid w:val="6A7D697F"/>
    <w:rsid w:val="6A8207F2"/>
    <w:rsid w:val="6A9E4112"/>
    <w:rsid w:val="6AE82251"/>
    <w:rsid w:val="6AFE1A6E"/>
    <w:rsid w:val="6B05524E"/>
    <w:rsid w:val="6B20689D"/>
    <w:rsid w:val="6B360633"/>
    <w:rsid w:val="6B665D93"/>
    <w:rsid w:val="6B666A81"/>
    <w:rsid w:val="6B774388"/>
    <w:rsid w:val="6B7C465A"/>
    <w:rsid w:val="6B821F0D"/>
    <w:rsid w:val="6BAA566B"/>
    <w:rsid w:val="6BB52AF5"/>
    <w:rsid w:val="6BC71D79"/>
    <w:rsid w:val="6BCD297E"/>
    <w:rsid w:val="6BE92C9B"/>
    <w:rsid w:val="6C1B2B4C"/>
    <w:rsid w:val="6C4A05C8"/>
    <w:rsid w:val="6C524942"/>
    <w:rsid w:val="6C553829"/>
    <w:rsid w:val="6C5C424F"/>
    <w:rsid w:val="6C6E6699"/>
    <w:rsid w:val="6CA123BF"/>
    <w:rsid w:val="6CCD1611"/>
    <w:rsid w:val="6CD97FB6"/>
    <w:rsid w:val="6CE17C1E"/>
    <w:rsid w:val="6CEF3CD9"/>
    <w:rsid w:val="6CF941B4"/>
    <w:rsid w:val="6CFA1CDB"/>
    <w:rsid w:val="6D0A4613"/>
    <w:rsid w:val="6D2070F3"/>
    <w:rsid w:val="6D4B142B"/>
    <w:rsid w:val="6D571920"/>
    <w:rsid w:val="6D5B4F8B"/>
    <w:rsid w:val="6D9D7AAA"/>
    <w:rsid w:val="6D9F4924"/>
    <w:rsid w:val="6DC61CCC"/>
    <w:rsid w:val="6E0E6033"/>
    <w:rsid w:val="6E133DB5"/>
    <w:rsid w:val="6E251C66"/>
    <w:rsid w:val="6E2A23AC"/>
    <w:rsid w:val="6E453429"/>
    <w:rsid w:val="6E7E3605"/>
    <w:rsid w:val="6EDA0016"/>
    <w:rsid w:val="6EEA3674"/>
    <w:rsid w:val="6F3E131E"/>
    <w:rsid w:val="6F7EA432"/>
    <w:rsid w:val="6FB703B2"/>
    <w:rsid w:val="6FF5CC65"/>
    <w:rsid w:val="700B4048"/>
    <w:rsid w:val="7040659E"/>
    <w:rsid w:val="70904E30"/>
    <w:rsid w:val="70A20B4F"/>
    <w:rsid w:val="70F626E5"/>
    <w:rsid w:val="71374D50"/>
    <w:rsid w:val="715C0E4B"/>
    <w:rsid w:val="71947ED4"/>
    <w:rsid w:val="719649BF"/>
    <w:rsid w:val="71CA17F9"/>
    <w:rsid w:val="71DB0C50"/>
    <w:rsid w:val="71DB139C"/>
    <w:rsid w:val="71DC6AFC"/>
    <w:rsid w:val="71F268BA"/>
    <w:rsid w:val="720E0AE6"/>
    <w:rsid w:val="723458CB"/>
    <w:rsid w:val="7237488A"/>
    <w:rsid w:val="72392622"/>
    <w:rsid w:val="72734D90"/>
    <w:rsid w:val="72A93F87"/>
    <w:rsid w:val="72B9096E"/>
    <w:rsid w:val="72C65005"/>
    <w:rsid w:val="72CC236B"/>
    <w:rsid w:val="72D55B4E"/>
    <w:rsid w:val="72FE936F"/>
    <w:rsid w:val="730613D9"/>
    <w:rsid w:val="732B52E4"/>
    <w:rsid w:val="73313263"/>
    <w:rsid w:val="7348445F"/>
    <w:rsid w:val="737E6A02"/>
    <w:rsid w:val="738F4394"/>
    <w:rsid w:val="739248FD"/>
    <w:rsid w:val="739A3F53"/>
    <w:rsid w:val="739D567E"/>
    <w:rsid w:val="73AD73D5"/>
    <w:rsid w:val="73B6EB34"/>
    <w:rsid w:val="73B74D96"/>
    <w:rsid w:val="73BE7F06"/>
    <w:rsid w:val="73C62984"/>
    <w:rsid w:val="73CB3D9D"/>
    <w:rsid w:val="73D74AE2"/>
    <w:rsid w:val="73E37B04"/>
    <w:rsid w:val="741928EC"/>
    <w:rsid w:val="741D1C2C"/>
    <w:rsid w:val="747616AC"/>
    <w:rsid w:val="749B0247"/>
    <w:rsid w:val="74AF5F1F"/>
    <w:rsid w:val="750000AA"/>
    <w:rsid w:val="75341FEF"/>
    <w:rsid w:val="754F7968"/>
    <w:rsid w:val="75622B13"/>
    <w:rsid w:val="75AD1FE0"/>
    <w:rsid w:val="75BD7F3E"/>
    <w:rsid w:val="75BF36BE"/>
    <w:rsid w:val="75D1388E"/>
    <w:rsid w:val="76016DE2"/>
    <w:rsid w:val="76392656"/>
    <w:rsid w:val="768D5BE5"/>
    <w:rsid w:val="76970762"/>
    <w:rsid w:val="76B94AFE"/>
    <w:rsid w:val="76ED542E"/>
    <w:rsid w:val="773A6123"/>
    <w:rsid w:val="776536BB"/>
    <w:rsid w:val="77813724"/>
    <w:rsid w:val="77E13575"/>
    <w:rsid w:val="77E460C6"/>
    <w:rsid w:val="782F78B2"/>
    <w:rsid w:val="78551151"/>
    <w:rsid w:val="786E3D05"/>
    <w:rsid w:val="78D7561D"/>
    <w:rsid w:val="78FD6B22"/>
    <w:rsid w:val="793E3EE5"/>
    <w:rsid w:val="79411D66"/>
    <w:rsid w:val="7971090F"/>
    <w:rsid w:val="79904524"/>
    <w:rsid w:val="79B40181"/>
    <w:rsid w:val="79BD210F"/>
    <w:rsid w:val="79EE4F6B"/>
    <w:rsid w:val="79EE5BA4"/>
    <w:rsid w:val="7A0273A6"/>
    <w:rsid w:val="7A40123A"/>
    <w:rsid w:val="7A541090"/>
    <w:rsid w:val="7A626B42"/>
    <w:rsid w:val="7A8378C9"/>
    <w:rsid w:val="7A894339"/>
    <w:rsid w:val="7A936D2A"/>
    <w:rsid w:val="7AD978E0"/>
    <w:rsid w:val="7AF26386"/>
    <w:rsid w:val="7B0E7C5F"/>
    <w:rsid w:val="7B130B37"/>
    <w:rsid w:val="7B3FD261"/>
    <w:rsid w:val="7B5E658E"/>
    <w:rsid w:val="7B694BFB"/>
    <w:rsid w:val="7BB3231A"/>
    <w:rsid w:val="7BCF6EF5"/>
    <w:rsid w:val="7BE160E4"/>
    <w:rsid w:val="7C3074BF"/>
    <w:rsid w:val="7C6E495D"/>
    <w:rsid w:val="7C893017"/>
    <w:rsid w:val="7C8B7FBE"/>
    <w:rsid w:val="7CB85855"/>
    <w:rsid w:val="7CD86AB1"/>
    <w:rsid w:val="7CDF6C8D"/>
    <w:rsid w:val="7D344D95"/>
    <w:rsid w:val="7D472D1A"/>
    <w:rsid w:val="7D485F18"/>
    <w:rsid w:val="7D4A0F45"/>
    <w:rsid w:val="7D660653"/>
    <w:rsid w:val="7D7004C3"/>
    <w:rsid w:val="7D891584"/>
    <w:rsid w:val="7D9C12B8"/>
    <w:rsid w:val="7E046E5D"/>
    <w:rsid w:val="7E0D1B9F"/>
    <w:rsid w:val="7E105802"/>
    <w:rsid w:val="7E1532BF"/>
    <w:rsid w:val="7E2050D1"/>
    <w:rsid w:val="7E3D7A3A"/>
    <w:rsid w:val="7E414658"/>
    <w:rsid w:val="7E67674A"/>
    <w:rsid w:val="7E93216A"/>
    <w:rsid w:val="7E9F479A"/>
    <w:rsid w:val="7ED446CD"/>
    <w:rsid w:val="7EDF7349"/>
    <w:rsid w:val="7EEF11D3"/>
    <w:rsid w:val="7EF7B9D6"/>
    <w:rsid w:val="7F067B28"/>
    <w:rsid w:val="7F3149A3"/>
    <w:rsid w:val="7F363046"/>
    <w:rsid w:val="7F5F40FF"/>
    <w:rsid w:val="7F620AB6"/>
    <w:rsid w:val="7F8B74D9"/>
    <w:rsid w:val="7F943A36"/>
    <w:rsid w:val="7FA30C79"/>
    <w:rsid w:val="7FC96657"/>
    <w:rsid w:val="9EFD80BC"/>
    <w:rsid w:val="A7F3119A"/>
    <w:rsid w:val="B5FE5A43"/>
    <w:rsid w:val="B76DBE77"/>
    <w:rsid w:val="BB7B3F75"/>
    <w:rsid w:val="BB9B59EE"/>
    <w:rsid w:val="CF7F8377"/>
    <w:rsid w:val="D8D6DB89"/>
    <w:rsid w:val="DB6F4CAB"/>
    <w:rsid w:val="DBB9B25E"/>
    <w:rsid w:val="DF6F9789"/>
    <w:rsid w:val="F4F9F0C1"/>
    <w:rsid w:val="F5FDF685"/>
    <w:rsid w:val="FABA288F"/>
    <w:rsid w:val="FDDA9618"/>
    <w:rsid w:val="FFDF744B"/>
    <w:rsid w:val="FFFF120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99"/>
    <w:pPr>
      <w:spacing w:beforeLines="30"/>
    </w:pPr>
    <w:rPr>
      <w:rFonts w:ascii="仿宋_GB2312" w:eastAsia="仿宋_GB2312"/>
      <w:kern w:val="0"/>
      <w:sz w:val="30"/>
    </w:rPr>
  </w:style>
  <w:style w:type="paragraph" w:styleId="3">
    <w:name w:val="Plain Text"/>
    <w:basedOn w:val="1"/>
    <w:qFormat/>
    <w:uiPriority w:val="99"/>
    <w:rPr>
      <w:rFonts w:ascii="宋体" w:hAnsi="Courier New" w:cs="宋体"/>
    </w:rPr>
  </w:style>
  <w:style w:type="paragraph" w:styleId="7">
    <w:name w:val="Body Text Indent"/>
    <w:basedOn w:val="1"/>
    <w:next w:val="1"/>
    <w:qFormat/>
    <w:uiPriority w:val="99"/>
    <w:pPr>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next w:val="1"/>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4"/>
    <w:qFormat/>
    <w:uiPriority w:val="9"/>
    <w:rPr>
      <w:rFonts w:ascii="Times New Roman" w:hAnsi="Times New Roman"/>
      <w:b/>
      <w:bCs/>
      <w:kern w:val="44"/>
      <w:sz w:val="44"/>
      <w:szCs w:val="44"/>
    </w:rPr>
  </w:style>
  <w:style w:type="character" w:customStyle="1" w:styleId="28">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6"/>
    <w:qFormat/>
    <w:uiPriority w:val="9"/>
    <w:rPr>
      <w:rFonts w:ascii="Times New Roman" w:hAnsi="Times New Roman"/>
      <w:b/>
      <w:bCs/>
      <w:kern w:val="2"/>
      <w:sz w:val="32"/>
      <w:szCs w:val="32"/>
    </w:rPr>
  </w:style>
  <w:style w:type="paragraph" w:customStyle="1" w:styleId="32">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收支决算总计（万元）</a:t>
            </a:r>
          </a:p>
        </c:rich>
      </c:tx>
      <c:layout>
        <c:manualLayout>
          <c:xMode val="edge"/>
          <c:yMode val="edge"/>
          <c:x val="0.249293141295696"/>
          <c:y val="0.00637890708058686"/>
        </c:manualLayout>
      </c:layout>
      <c:overlay val="false"/>
      <c:spPr>
        <a:noFill/>
        <a:ln>
          <a:noFill/>
        </a:ln>
        <a:effectLst/>
      </c:spPr>
    </c:title>
    <c:autoTitleDeleted val="false"/>
    <c:plotArea>
      <c:layout>
        <c:manualLayout>
          <c:layoutTarget val="inner"/>
          <c:xMode val="edge"/>
          <c:yMode val="edge"/>
          <c:x val="0.112014162296613"/>
          <c:y val="0.0809189887568062"/>
          <c:w val="0.883601795616583"/>
          <c:h val="0.722125474436258"/>
        </c:manualLayout>
      </c:layout>
      <c:barChart>
        <c:barDir val="col"/>
        <c:grouping val="clustered"/>
        <c:varyColors val="false"/>
        <c:ser>
          <c:idx val="0"/>
          <c:order val="0"/>
          <c:tx>
            <c:strRef>
              <c:f>Sheet1!$B$1</c:f>
              <c:strCache>
                <c:ptCount val="1"/>
                <c:pt idx="0">
                  <c:v>年度收支决算总计</c:v>
                </c:pt>
              </c:strCache>
            </c:strRef>
          </c:tx>
          <c:spPr>
            <a:solidFill>
              <a:schemeClr val="accent1"/>
            </a:solidFill>
            <a:ln>
              <a:noFill/>
            </a:ln>
            <a:effectLst/>
          </c:spPr>
          <c:invertIfNegative val="false"/>
          <c:dLbls>
            <c:dLbl>
              <c:idx val="0"/>
              <c:layout>
                <c:manualLayout>
                  <c:x val="0.00298601288700299"/>
                  <c:y val="0.00275946294965283"/>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913.05</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141442715700141"/>
                  <c:y val="0.0165814113619"/>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1900.71</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2021年收支决算总计</c:v>
                </c:pt>
                <c:pt idx="1">
                  <c:v>2022年收支决算总计</c:v>
                </c:pt>
              </c:strCache>
            </c:strRef>
          </c:cat>
          <c:val>
            <c:numRef>
              <c:f>Sheet1!$B$2:$B$3</c:f>
              <c:numCache>
                <c:formatCode>General</c:formatCode>
                <c:ptCount val="2"/>
                <c:pt idx="0">
                  <c:v>913.05</c:v>
                </c:pt>
                <c:pt idx="1">
                  <c:v>1900.71</c:v>
                </c:pt>
              </c:numCache>
            </c:numRef>
          </c:val>
        </c:ser>
        <c:dLbls>
          <c:showLegendKey val="false"/>
          <c:showVal val="false"/>
          <c:showCatName val="false"/>
          <c:showSerName val="false"/>
          <c:showPercent val="false"/>
          <c:showBubbleSize val="false"/>
        </c:dLbls>
        <c:gapWidth val="219"/>
        <c:overlap val="-27"/>
        <c:axId val="106340736"/>
        <c:axId val="106342272"/>
      </c:barChart>
      <c:catAx>
        <c:axId val="106340736"/>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6342272"/>
        <c:crosses val="autoZero"/>
        <c:auto val="true"/>
        <c:lblAlgn val="ctr"/>
        <c:lblOffset val="100"/>
        <c:noMultiLvlLbl val="false"/>
      </c:catAx>
      <c:valAx>
        <c:axId val="106342272"/>
        <c:scaling>
          <c:orientation val="minMax"/>
        </c:scaling>
        <c:delete val="false"/>
        <c:axPos val="l"/>
        <c:majorGridlines>
          <c:spPr>
            <a:ln w="9525" cap="flat" cmpd="sng" algn="ctr">
              <a:solidFill>
                <a:schemeClr val="bg1">
                  <a:lumMod val="6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6340736"/>
        <c:crosses val="autoZero"/>
        <c:crossBetween val="between"/>
      </c:valAx>
      <c:spPr>
        <a:noFill/>
        <a:ln>
          <a:noFill/>
        </a:ln>
        <a:effectLst/>
      </c:spPr>
    </c:plotArea>
    <c:legend>
      <c:legendPos val="b"/>
      <c:layout>
        <c:manualLayout>
          <c:xMode val="edge"/>
          <c:yMode val="edge"/>
          <c:x val="0.397426095820591"/>
          <c:y val="0.92240273621205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22</a:t>
            </a:r>
            <a:r>
              <a:t>年本年收入（万元）</a:t>
            </a:r>
          </a:p>
        </c:rich>
      </c:tx>
      <c:layout>
        <c:manualLayout>
          <c:xMode val="edge"/>
          <c:yMode val="edge"/>
          <c:x val="0.227090178897408"/>
          <c:y val="0.00877449546651068"/>
        </c:manualLayout>
      </c:layout>
      <c:overlay val="false"/>
      <c:spPr>
        <a:noFill/>
        <a:ln>
          <a:noFill/>
        </a:ln>
        <a:effectLst/>
      </c:spPr>
    </c:title>
    <c:autoTitleDeleted val="false"/>
    <c:plotArea>
      <c:layout>
        <c:manualLayout>
          <c:layoutTarget val="inner"/>
          <c:xMode val="edge"/>
          <c:yMode val="edge"/>
          <c:x val="0.278153418951753"/>
          <c:y val="0.107107692307692"/>
          <c:w val="0.376008330440819"/>
          <c:h val="0.555528205128205"/>
        </c:manualLayout>
      </c:layout>
      <c:pieChart>
        <c:varyColors val="true"/>
        <c:ser>
          <c:idx val="0"/>
          <c:order val="0"/>
          <c:tx>
            <c:strRef>
              <c:f>Sheet1!$B$1</c:f>
              <c:strCache>
                <c:ptCount val="1"/>
                <c:pt idx="0">
                  <c:v>2021年本年收入（万元）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1"/>
              <c:layout>
                <c:manualLayout>
                  <c:x val="0.153340635268346"/>
                  <c:y val="-0.14428031604259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1043.04</c:v>
                </c:pt>
                <c:pt idx="1" c:formatCode="#,##0.00">
                  <c:v>857.66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265534262485482"/>
          <c:y val="0.91214392389058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22</a:t>
            </a:r>
            <a:r>
              <a:t>年本年支出（万元）</a:t>
            </a:r>
          </a:p>
        </c:rich>
      </c:tx>
      <c:layout/>
      <c:overlay val="false"/>
      <c:spPr>
        <a:noFill/>
        <a:ln>
          <a:noFill/>
        </a:ln>
        <a:effectLst/>
      </c:spPr>
    </c:title>
    <c:autoTitleDeleted val="false"/>
    <c:plotArea>
      <c:layout/>
      <c:pieChart>
        <c:varyColors val="true"/>
        <c:ser>
          <c:idx val="0"/>
          <c:order val="0"/>
          <c:tx>
            <c:strRef>
              <c:f>Sheet1!$B$1</c:f>
              <c:strCache>
                <c:ptCount val="1"/>
                <c:pt idx="0">
                  <c:v>2021年本年支出（万元）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666.4</c:v>
                </c:pt>
                <c:pt idx="1">
                  <c:v>1234.3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财政拨款收支决算总计（万元）</a:t>
            </a:r>
          </a:p>
        </c:rich>
      </c:tx>
      <c:layout/>
      <c:overlay val="false"/>
      <c:spPr>
        <a:noFill/>
        <a:ln>
          <a:noFill/>
        </a:ln>
        <a:effectLst/>
      </c:spPr>
    </c:title>
    <c:autoTitleDeleted val="false"/>
    <c:plotArea>
      <c:layout>
        <c:manualLayout>
          <c:layoutTarget val="inner"/>
          <c:xMode val="edge"/>
          <c:yMode val="edge"/>
          <c:x val="0.0618695537364669"/>
          <c:y val="0.191091292699263"/>
          <c:w val="0.927925"/>
          <c:h val="0.716566666666667"/>
        </c:manualLayout>
      </c:layout>
      <c:barChart>
        <c:barDir val="col"/>
        <c:grouping val="clustered"/>
        <c:varyColors val="false"/>
        <c:ser>
          <c:idx val="0"/>
          <c:order val="0"/>
          <c:tx>
            <c:strRef>
              <c:f>Sheet1!$B$1</c:f>
              <c:strCache>
                <c:ptCount val="1"/>
                <c:pt idx="0">
                  <c:v>年度收支决算总计</c:v>
                </c:pt>
              </c:strCache>
            </c:strRef>
          </c:tx>
          <c:spPr>
            <a:solidFill>
              <a:schemeClr val="accent1"/>
            </a:solidFill>
            <a:ln>
              <a:noFill/>
            </a:ln>
            <a:effectLst/>
          </c:spPr>
          <c:invertIfNegative val="false"/>
          <c:dLbls>
            <c:dLbl>
              <c:idx val="0"/>
              <c:layout>
                <c:manualLayout>
                  <c:x val="-0.00356482703987325"/>
                  <c:y val="0.0156284885018977"/>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
                  <c:y val="-0.0187541862022773"/>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2021年收支决算总计</c:v>
                </c:pt>
                <c:pt idx="1">
                  <c:v>2022年收支决算总计</c:v>
                </c:pt>
              </c:strCache>
            </c:strRef>
          </c:cat>
          <c:val>
            <c:numRef>
              <c:f>Sheet1!$B$2:$B$3</c:f>
              <c:numCache>
                <c:formatCode>General</c:formatCode>
                <c:ptCount val="2"/>
                <c:pt idx="0">
                  <c:v>913.05</c:v>
                </c:pt>
                <c:pt idx="1">
                  <c:v>1900.71</c:v>
                </c:pt>
              </c:numCache>
            </c:numRef>
          </c:val>
        </c:ser>
        <c:dLbls>
          <c:showLegendKey val="false"/>
          <c:showVal val="false"/>
          <c:showCatName val="false"/>
          <c:showSerName val="false"/>
          <c:showPercent val="false"/>
          <c:showBubbleSize val="false"/>
        </c:dLbls>
        <c:gapWidth val="219"/>
        <c:overlap val="-27"/>
        <c:axId val="106550400"/>
        <c:axId val="106551936"/>
      </c:barChart>
      <c:catAx>
        <c:axId val="106550400"/>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6551936"/>
        <c:crosses val="autoZero"/>
        <c:auto val="true"/>
        <c:lblAlgn val="ctr"/>
        <c:lblOffset val="100"/>
        <c:noMultiLvlLbl val="false"/>
      </c:catAx>
      <c:valAx>
        <c:axId val="106551936"/>
        <c:scaling>
          <c:orientation val="minMax"/>
        </c:scaling>
        <c:delete val="false"/>
        <c:axPos val="l"/>
        <c:majorGridlines>
          <c:spPr>
            <a:ln w="9525" cap="flat" cmpd="sng" algn="ctr">
              <a:solidFill>
                <a:schemeClr val="bg1">
                  <a:lumMod val="6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6550400"/>
        <c:crosses val="autoZero"/>
        <c:crossBetween val="between"/>
      </c:valAx>
      <c:spPr>
        <a:noFill/>
        <a:ln>
          <a:noFill/>
        </a:ln>
        <a:effectLst/>
      </c:spPr>
    </c:plotArea>
    <c:legend>
      <c:legendPos val="b"/>
      <c:layout>
        <c:manualLayout>
          <c:xMode val="edge"/>
          <c:yMode val="edge"/>
          <c:x val="0.397426095820591"/>
          <c:y val="0.92240273621205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一般公共预算财政拨款支出决算总计（万元）</a:t>
            </a:r>
          </a:p>
        </c:rich>
      </c:tx>
      <c:layout>
        <c:manualLayout>
          <c:xMode val="edge"/>
          <c:yMode val="edge"/>
          <c:x val="0.140447401953328"/>
          <c:y val="0.0105160608846417"/>
        </c:manualLayout>
      </c:layout>
      <c:overlay val="false"/>
      <c:spPr>
        <a:noFill/>
        <a:ln>
          <a:noFill/>
        </a:ln>
        <a:effectLst/>
      </c:spPr>
    </c:title>
    <c:autoTitleDeleted val="false"/>
    <c:plotArea>
      <c:layout>
        <c:manualLayout>
          <c:layoutTarget val="inner"/>
          <c:xMode val="edge"/>
          <c:yMode val="edge"/>
          <c:x val="0.108528536301281"/>
          <c:y val="0.600033456005353"/>
          <c:w val="0.88137698977611"/>
          <c:h val="0.330779524924724"/>
        </c:manualLayout>
      </c:layout>
      <c:barChart>
        <c:barDir val="col"/>
        <c:grouping val="clustered"/>
        <c:varyColors val="false"/>
        <c:ser>
          <c:idx val="0"/>
          <c:order val="0"/>
          <c:tx>
            <c:strRef>
              <c:f>Sheet1!$B$1</c:f>
              <c:strCache>
                <c:ptCount val="1"/>
                <c:pt idx="0">
                  <c:v>一般公共预算财政拨款支出决算总计</c:v>
                </c:pt>
              </c:strCache>
            </c:strRef>
          </c:tx>
          <c:spPr>
            <a:solidFill>
              <a:schemeClr val="accent1"/>
            </a:solidFill>
            <a:ln>
              <a:noFill/>
            </a:ln>
            <a:effectLst/>
          </c:spPr>
          <c:invertIfNegative val="false"/>
          <c:dLbls>
            <c:dLbl>
              <c:idx val="1"/>
              <c:layout>
                <c:manualLayout>
                  <c:x val="-0.00381315538608198"/>
                  <c:y val="0.00702106318956871"/>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2021年一般公共预算财政拨款支出</c:v>
                </c:pt>
                <c:pt idx="1">
                  <c:v>2022年一般公共预算财政拨款支出</c:v>
                </c:pt>
              </c:strCache>
            </c:strRef>
          </c:cat>
          <c:val>
            <c:numRef>
              <c:f>Sheet1!$B$2:$B$3</c:f>
              <c:numCache>
                <c:formatCode>#,##0.00</c:formatCode>
                <c:ptCount val="2"/>
                <c:pt idx="0">
                  <c:v>913.05</c:v>
                </c:pt>
                <c:pt idx="1">
                  <c:v>1043.04</c:v>
                </c:pt>
              </c:numCache>
            </c:numRef>
          </c:val>
        </c:ser>
        <c:dLbls>
          <c:showLegendKey val="false"/>
          <c:showVal val="false"/>
          <c:showCatName val="false"/>
          <c:showSerName val="false"/>
          <c:showPercent val="false"/>
          <c:showBubbleSize val="false"/>
        </c:dLbls>
        <c:gapWidth val="219"/>
        <c:overlap val="-27"/>
        <c:axId val="106781696"/>
        <c:axId val="106783488"/>
      </c:barChart>
      <c:catAx>
        <c:axId val="106781696"/>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6783488"/>
        <c:crosses val="autoZero"/>
        <c:auto val="true"/>
        <c:lblAlgn val="ctr"/>
        <c:lblOffset val="100"/>
        <c:noMultiLvlLbl val="false"/>
      </c:catAx>
      <c:valAx>
        <c:axId val="106783488"/>
        <c:scaling>
          <c:orientation val="minMax"/>
        </c:scaling>
        <c:delete val="false"/>
        <c:axPos val="l"/>
        <c:majorGridlines>
          <c:spPr>
            <a:ln w="9525" cap="flat" cmpd="sng" algn="ctr">
              <a:solidFill>
                <a:schemeClr val="bg1">
                  <a:lumMod val="65000"/>
                </a:schemeClr>
              </a:solidFill>
              <a:round/>
            </a:ln>
            <a:effectLst/>
          </c:spPr>
        </c:majorGridlines>
        <c:numFmt formatCode="#,##0.00"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6781696"/>
        <c:crosses val="autoZero"/>
        <c:crossBetween val="between"/>
      </c:valAx>
      <c:spPr>
        <a:noFill/>
        <a:ln>
          <a:noFill/>
        </a:ln>
        <a:effectLst/>
      </c:spPr>
    </c:plotArea>
    <c:legend>
      <c:legendPos val="b"/>
      <c:layout>
        <c:manualLayout>
          <c:xMode val="edge"/>
          <c:yMode val="edge"/>
          <c:x val="0.0125015784821316"/>
          <c:y val="0.00675523530736321"/>
          <c:w val="0.983710064402071"/>
          <c:h val="0.986489529385274"/>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manualLayout>
          <c:xMode val="edge"/>
          <c:yMode val="edge"/>
          <c:x val="0.270794993109618"/>
          <c:y val="0.033901344939544"/>
        </c:manualLayout>
      </c:layout>
      <c:overlay val="false"/>
      <c:spPr>
        <a:noFill/>
        <a:ln>
          <a:noFill/>
        </a:ln>
        <a:effectLst/>
      </c:spPr>
    </c:title>
    <c:autoTitleDeleted val="false"/>
    <c:plotArea>
      <c:layout>
        <c:manualLayout>
          <c:layoutTarget val="inner"/>
          <c:xMode val="edge"/>
          <c:yMode val="edge"/>
          <c:x val="0.396394230769231"/>
          <c:y val="0.214699219733199"/>
          <c:w val="0.259014423076923"/>
          <c:h val="0.542411276113768"/>
        </c:manualLayout>
      </c:layout>
      <c:pieChart>
        <c:varyColors val="true"/>
        <c:ser>
          <c:idx val="0"/>
          <c:order val="0"/>
          <c:tx>
            <c:strRef>
              <c:f>Sheet1!$B$1</c:f>
              <c:strCache>
                <c:ptCount val="1"/>
                <c:pt idx="0">
                  <c:v>一般公共预算财政拨款支出</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Pt>
            <c:idx val="8"/>
            <c:bubble3D val="false"/>
            <c:spPr>
              <a:solidFill>
                <a:schemeClr val="accent3">
                  <a:lumMod val="60000"/>
                </a:schemeClr>
              </a:solidFill>
              <a:ln w="19050">
                <a:solidFill>
                  <a:schemeClr val="lt1"/>
                </a:solidFill>
              </a:ln>
              <a:effectLst/>
            </c:spPr>
          </c:dPt>
          <c:dLbls>
            <c:dLbl>
              <c:idx val="1"/>
              <c:layout>
                <c:manualLayout>
                  <c:x val="0.0756055751064277"/>
                  <c:y val="0.058599910789247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2369971025886"/>
                  <c:y val="0.043859161748552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556802875510143"/>
                  <c:y val="0.04069203522165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197906401317045"/>
                  <c:y val="-0.098294294275171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6"/>
              <c:layout>
                <c:manualLayout>
                  <c:x val="0.0310385178316355"/>
                  <c:y val="-0.037967984814891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7"/>
              <c:layout>
                <c:manualLayout>
                  <c:x val="-0.0696068246867365"/>
                  <c:y val="0.0075248156326701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8"/>
              <c:layout>
                <c:manualLayout>
                  <c:x val="0.0838048495653654"/>
                  <c:y val="0.005504343141275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公共安全支出</c:v>
                </c:pt>
                <c:pt idx="2">
                  <c:v>社会保障和就业支出</c:v>
                </c:pt>
                <c:pt idx="3">
                  <c:v>卫生健康支出</c:v>
                </c:pt>
                <c:pt idx="4">
                  <c:v>城乡社区支出</c:v>
                </c:pt>
                <c:pt idx="5">
                  <c:v>农林水支出</c:v>
                </c:pt>
                <c:pt idx="6">
                  <c:v>交通运输</c:v>
                </c:pt>
                <c:pt idx="7">
                  <c:v>住房保障支出</c:v>
                </c:pt>
                <c:pt idx="8">
                  <c:v>灾害防治及应急管理支出</c:v>
                </c:pt>
              </c:strCache>
            </c:strRef>
          </c:cat>
          <c:val>
            <c:numRef>
              <c:f>Sheet1!$B$2:$B$10</c:f>
              <c:numCache>
                <c:formatCode>0.00%</c:formatCode>
                <c:ptCount val="9"/>
                <c:pt idx="0">
                  <c:v>0.3985</c:v>
                </c:pt>
                <c:pt idx="1">
                  <c:v>0.0019</c:v>
                </c:pt>
                <c:pt idx="2">
                  <c:v>0.0305</c:v>
                </c:pt>
                <c:pt idx="3">
                  <c:v>0.0129</c:v>
                </c:pt>
                <c:pt idx="4">
                  <c:v>0.1956</c:v>
                </c:pt>
                <c:pt idx="5">
                  <c:v>0.3169</c:v>
                </c:pt>
                <c:pt idx="6">
                  <c:v>0.001</c:v>
                </c:pt>
                <c:pt idx="7">
                  <c:v>0.0235</c:v>
                </c:pt>
                <c:pt idx="8">
                  <c:v>0.0192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100166959056769"/>
          <c:y val="0.845810048348021"/>
          <c:w val="0.819259440303067"/>
          <c:h val="0.146638982610953"/>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18</Pages>
  <Words>7248</Words>
  <Characters>8427</Characters>
  <Lines>18</Lines>
  <Paragraphs>25</Paragraphs>
  <TotalTime>34</TotalTime>
  <ScaleCrop>false</ScaleCrop>
  <LinksUpToDate>false</LinksUpToDate>
  <CharactersWithSpaces>12374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user</cp:lastModifiedBy>
  <cp:lastPrinted>2022-08-09T09:11:00Z</cp:lastPrinted>
  <dcterms:modified xsi:type="dcterms:W3CDTF">2025-01-08T09:54:25Z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71EE4C5B63CC42F888BCD11980679D2B</vt:lpwstr>
  </property>
</Properties>
</file>