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广元</w:t>
      </w: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eastAsia="zh-CN"/>
        </w:rPr>
        <w:t>经济技术开发区管理委员会</w:t>
      </w:r>
    </w:p>
    <w:p>
      <w:pPr>
        <w:spacing w:line="620" w:lineRule="exact"/>
        <w:jc w:val="center"/>
        <w:rPr>
          <w:rFonts w:ascii="华文中宋" w:hAnsi="华文中宋" w:eastAsia="华文中宋"/>
          <w:b/>
          <w:bCs/>
          <w:color w:val="000000"/>
          <w:sz w:val="44"/>
          <w:szCs w:val="44"/>
        </w:rPr>
      </w:pPr>
      <w:bookmarkStart w:id="0" w:name="_GoBack"/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201</w:t>
      </w: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val="en-US" w:eastAsia="zh-CN"/>
        </w:rPr>
        <w:t>8</w:t>
      </w:r>
      <w:r>
        <w:rPr>
          <w:rFonts w:ascii="华文中宋" w:hAnsi="华文中宋" w:eastAsia="华文中宋"/>
          <w:b/>
          <w:bCs/>
          <w:color w:val="000000"/>
          <w:sz w:val="44"/>
          <w:szCs w:val="44"/>
        </w:rPr>
        <w:t>年部门预算情况说明</w:t>
      </w:r>
    </w:p>
    <w:bookmarkEnd w:id="0"/>
    <w:p>
      <w:pPr>
        <w:spacing w:line="620" w:lineRule="exact"/>
        <w:jc w:val="both"/>
        <w:rPr>
          <w:rFonts w:hint="eastAsia" w:ascii="华文中宋" w:hAnsi="华文中宋" w:eastAsia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620" w:lineRule="exact"/>
        <w:jc w:val="both"/>
        <w:rPr>
          <w:rFonts w:hint="eastAsia" w:ascii="华文中宋" w:hAnsi="华文中宋" w:eastAsia="华文中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color w:val="000000"/>
          <w:sz w:val="32"/>
          <w:szCs w:val="32"/>
          <w:lang w:val="en-US" w:eastAsia="zh-CN"/>
        </w:rPr>
        <w:t>基本情况</w:t>
      </w:r>
    </w:p>
    <w:p>
      <w:pPr>
        <w:spacing w:line="560" w:lineRule="exact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 xml:space="preserve">   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广元经济技术开发区管理委员会在编人员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170</w:t>
      </w:r>
      <w:r>
        <w:rPr>
          <w:rFonts w:hAnsi="华文中宋" w:eastAsia="仿宋_GB2312"/>
          <w:b w:val="0"/>
          <w:bCs w:val="0"/>
          <w:szCs w:val="32"/>
        </w:rPr>
        <w:t>名，其中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参公管理事业编制人员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108人，</w:t>
      </w:r>
      <w:r>
        <w:rPr>
          <w:rFonts w:hint="eastAsia" w:hAnsi="华文中宋" w:eastAsia="仿宋_GB2312"/>
          <w:b w:val="0"/>
          <w:bCs w:val="0"/>
          <w:szCs w:val="32"/>
        </w:rPr>
        <w:t>其他</w:t>
      </w:r>
      <w:r>
        <w:rPr>
          <w:rFonts w:hAnsi="华文中宋" w:eastAsia="仿宋_GB2312"/>
          <w:b w:val="0"/>
          <w:bCs w:val="0"/>
          <w:szCs w:val="32"/>
        </w:rPr>
        <w:t>事业编制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49人，工勤编制13人</w:t>
      </w:r>
      <w:r>
        <w:rPr>
          <w:rFonts w:hAnsi="华文中宋" w:eastAsia="仿宋_GB2312"/>
          <w:b w:val="0"/>
          <w:bCs w:val="0"/>
          <w:szCs w:val="32"/>
        </w:rPr>
        <w:t>。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退休人员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32人，遗属供养人员17人。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聘用工作人员</w:t>
      </w: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>95人。</w:t>
      </w:r>
    </w:p>
    <w:p>
      <w:pPr>
        <w:spacing w:line="560" w:lineRule="exact"/>
        <w:ind w:firstLine="646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eastAsia="仿宋_GB2312"/>
          <w:b w:val="0"/>
          <w:bCs w:val="0"/>
          <w:color w:val="000000"/>
          <w:szCs w:val="32"/>
        </w:rPr>
        <w:t>固定资产总额</w:t>
      </w:r>
      <w:r>
        <w:rPr>
          <w:rFonts w:hint="eastAsia" w:eastAsia="仿宋_GB2312"/>
          <w:b w:val="0"/>
          <w:bCs w:val="0"/>
          <w:color w:val="auto"/>
          <w:szCs w:val="32"/>
          <w:lang w:val="en-US" w:eastAsia="zh-CN"/>
        </w:rPr>
        <w:t>1173</w:t>
      </w:r>
      <w:r>
        <w:rPr>
          <w:rFonts w:eastAsia="仿宋_GB2312"/>
          <w:b w:val="0"/>
          <w:bCs w:val="0"/>
          <w:color w:val="000000"/>
          <w:szCs w:val="32"/>
        </w:rPr>
        <w:t>万元。</w:t>
      </w:r>
    </w:p>
    <w:p>
      <w:pPr>
        <w:spacing w:line="560" w:lineRule="exact"/>
        <w:rPr>
          <w:rFonts w:hint="eastAsia" w:hAnsi="华文中宋" w:eastAsia="仿宋_GB2312"/>
          <w:b w:val="0"/>
          <w:bCs w:val="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val="en-US" w:eastAsia="zh-CN"/>
        </w:rPr>
        <w:t xml:space="preserve">   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hint="eastAsia" w:hAnsi="华文中宋" w:eastAsia="仿宋_GB2312"/>
          <w:b w:val="0"/>
          <w:bCs w:val="0"/>
          <w:szCs w:val="32"/>
        </w:rPr>
        <w:t>的主要职责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如下</w:t>
      </w:r>
      <w:r>
        <w:rPr>
          <w:rFonts w:hint="eastAsia" w:hAnsi="华文中宋" w:eastAsia="仿宋_GB2312"/>
          <w:b w:val="0"/>
          <w:bCs w:val="0"/>
          <w:szCs w:val="32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（一）贯彻执行国家、省、市的法律、法规和政策规定，依法制定和实施开发区的建设发展规划、管理办法及配套政策。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省政府授权，根据广元市城市建设总体规划编制区内详细规划。审批各类建设工程的规划设计及入区项目的环保评审，颁发全市统一编号的《建设项目选址意见书》、《建设用地规划许可证》、《建设工程规划许可证》，统一管理开发区建筑市场，发放《建设工程施工许可证》，按照国家现行规定组织工程竣工验收，并负责工程建设的监督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负责开发区的国民经济和社会发展计划，其计划实行单列。需要市综合平衡下达的计划，由开发区编制，市计划部门下达。需要省政府下达的计划，由市计划部门负责转报落实；制定开发区产业经济发展规划，编制重点项目和基础设施建设计划，加快产业聚集，推进产业发展，搞好园区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贯彻执行省政府、市委、市政府扩大发展，搞好园区建设、各项政策和决定，研究制定招商引资、经济技术合作的总体规划和年度目标；组织发布招商信息及开展招商引资和对外宣传工作；确定及审批入园项目，按照管理权限审批企业项目、固定资产投资项目，审办立项手续，下达基金项目和技术改造、技术引进项目年度计划，审批和报批区内中外合资、合作经营项目建议书、合同、章程和外商独资项目的可行性研究报告、章程、发放批准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（五）负责区内财政管理和国有资产管理，建立一级财政金库，实行独立财政管理体制；编制和实施财政预决算方案；负责统一收取区内的各种规费；负责开发区的财务会计管理和监督工作。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负责辖区内的土地管理、房政管理和房地产行业管理，统一管理房地产权属、产籍和房地产的登记办理；统一管理辖区内土地、矿产资源和城乡地籍、地政工作，制定土地资源规划；统一办理、审核辖区内建设用地出让（征用、划拨）、转让、出租、抵押。代发全市统一编号的《国有土地使用证》、《房屋产权证》、《集体土地使用证》、《商品房预售许可证》、《商品房外销许可证》。统一查处房地产权属纠纷，实施房地产监察。搞好区内建设征地涉及的拆迁、补偿和安置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（七）负责辖区内的劳动就业、劳动监察、就业培训、失业登记、劳动安全、劳动仲裁、社会保险、工资管理等业务。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（八）负责辖区内的民政、计划生育、文化体育、旅游、环保、质量技术监督、农业、林业、水务、畜牧业、气象等社会事务工作。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（九）负责辖区内的公安管理事务、司法案件。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（十）负责辖区内各类企业的注册登记和市场、验证、年审、商标、广告、物价、合同及经济监督检查等管理工作。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（十一）负责辖区内的注册登记企业（含个体工商户）的税收征管，依据国家、省、市给予开发区的各项优惠政策，审批、办理有关税收业务。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（十二）承办省政府、市委、市政府交办的其他事项。</w:t>
      </w:r>
    </w:p>
    <w:p>
      <w:pPr>
        <w:spacing w:line="560" w:lineRule="exact"/>
        <w:ind w:firstLine="646"/>
        <w:rPr>
          <w:rFonts w:hint="eastAsia" w:ascii="黑体" w:hAnsi="黑体" w:eastAsia="黑体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eastAsia" w:ascii="黑体" w:hAnsi="黑体" w:eastAsia="黑体"/>
          <w:spacing w:val="-4"/>
          <w:szCs w:val="32"/>
        </w:rPr>
        <w:t>预算情况说明</w:t>
      </w:r>
    </w:p>
    <w:p>
      <w:pPr>
        <w:spacing w:line="560" w:lineRule="exact"/>
        <w:ind w:firstLine="646"/>
        <w:rPr>
          <w:rFonts w:eastAsia="仿宋_GB2312"/>
          <w:b w:val="0"/>
          <w:bCs w:val="0"/>
          <w:color w:val="000000"/>
          <w:szCs w:val="32"/>
        </w:rPr>
      </w:pP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eastAsia="仿宋_GB2312"/>
          <w:b w:val="0"/>
          <w:bCs w:val="0"/>
          <w:color w:val="000000"/>
          <w:szCs w:val="32"/>
        </w:rPr>
        <w:t>201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</w:t>
      </w:r>
      <w:r>
        <w:rPr>
          <w:rFonts w:eastAsia="仿宋_GB2312"/>
          <w:b w:val="0"/>
          <w:bCs w:val="0"/>
          <w:color w:val="000000"/>
          <w:szCs w:val="32"/>
        </w:rPr>
        <w:t>年部门预算收入总数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8392</w:t>
      </w:r>
      <w:r>
        <w:rPr>
          <w:rFonts w:eastAsia="仿宋_GB2312"/>
          <w:b w:val="0"/>
          <w:bCs w:val="0"/>
          <w:color w:val="000000"/>
          <w:szCs w:val="32"/>
        </w:rPr>
        <w:t>万元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,同比下降34.88%</w:t>
      </w:r>
      <w:r>
        <w:rPr>
          <w:rFonts w:eastAsia="仿宋_GB2312"/>
          <w:b w:val="0"/>
          <w:bCs w:val="0"/>
          <w:color w:val="000000"/>
          <w:szCs w:val="32"/>
        </w:rPr>
        <w:t>；201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</w:t>
      </w:r>
      <w:r>
        <w:rPr>
          <w:rFonts w:eastAsia="仿宋_GB2312"/>
          <w:b w:val="0"/>
          <w:bCs w:val="0"/>
          <w:color w:val="000000"/>
          <w:szCs w:val="32"/>
        </w:rPr>
        <w:t>年部门预算支出总数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8392</w:t>
      </w:r>
      <w:r>
        <w:rPr>
          <w:rFonts w:eastAsia="仿宋_GB2312"/>
          <w:b w:val="0"/>
          <w:bCs w:val="0"/>
          <w:color w:val="000000"/>
          <w:szCs w:val="32"/>
        </w:rPr>
        <w:t>万元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,同比下降34.88%</w:t>
      </w:r>
      <w:r>
        <w:rPr>
          <w:rFonts w:eastAsia="仿宋_GB2312"/>
          <w:b w:val="0"/>
          <w:bCs w:val="0"/>
          <w:color w:val="000000"/>
          <w:szCs w:val="32"/>
        </w:rPr>
        <w:t>。201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8</w:t>
      </w:r>
      <w:r>
        <w:rPr>
          <w:rFonts w:eastAsia="仿宋_GB2312"/>
          <w:b w:val="0"/>
          <w:bCs w:val="0"/>
          <w:color w:val="000000"/>
          <w:szCs w:val="32"/>
        </w:rPr>
        <w:t>年部门基本支出预算总数</w:t>
      </w:r>
      <w:r>
        <w:rPr>
          <w:rFonts w:hint="eastAsia" w:eastAsia="仿宋_GB2312"/>
          <w:b w:val="0"/>
          <w:bCs w:val="0"/>
          <w:szCs w:val="32"/>
          <w:lang w:val="en-US" w:eastAsia="zh-CN"/>
        </w:rPr>
        <w:t>3873</w:t>
      </w:r>
      <w:r>
        <w:rPr>
          <w:rFonts w:eastAsia="仿宋_GB2312"/>
          <w:b w:val="0"/>
          <w:bCs w:val="0"/>
          <w:color w:val="000000"/>
          <w:szCs w:val="32"/>
        </w:rPr>
        <w:t>万元，其中：人员支出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2288</w:t>
      </w:r>
      <w:r>
        <w:rPr>
          <w:rFonts w:eastAsia="仿宋_GB2312"/>
          <w:b w:val="0"/>
          <w:bCs w:val="0"/>
          <w:color w:val="000000"/>
          <w:szCs w:val="32"/>
        </w:rPr>
        <w:t>万元，公用支出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659</w:t>
      </w:r>
      <w:r>
        <w:rPr>
          <w:rFonts w:eastAsia="仿宋_GB2312"/>
          <w:b w:val="0"/>
          <w:bCs w:val="0"/>
          <w:color w:val="000000"/>
          <w:szCs w:val="32"/>
        </w:rPr>
        <w:t>万元。</w:t>
      </w:r>
      <w:r>
        <w:rPr>
          <w:rFonts w:hint="eastAsia" w:eastAsia="仿宋_GB2312"/>
          <w:b w:val="0"/>
          <w:bCs w:val="0"/>
          <w:color w:val="000000"/>
          <w:szCs w:val="32"/>
          <w:lang w:val="en-US" w:eastAsia="zh-CN"/>
        </w:rPr>
        <w:t>2018年部门专项项目预算4519万元。</w:t>
      </w:r>
    </w:p>
    <w:p>
      <w:pPr>
        <w:spacing w:line="560" w:lineRule="exact"/>
        <w:ind w:firstLine="640"/>
        <w:rPr>
          <w:rFonts w:hint="eastAsia" w:ascii="仿宋_GB2312" w:eastAsia="仿宋_GB2312"/>
          <w:b w:val="0"/>
          <w:bCs w:val="0"/>
          <w:szCs w:val="32"/>
        </w:rPr>
      </w:pPr>
      <w:r>
        <w:rPr>
          <w:rFonts w:ascii="仿宋_GB2312" w:eastAsia="仿宋_GB2312"/>
          <w:b w:val="0"/>
          <w:bCs w:val="0"/>
          <w:szCs w:val="32"/>
        </w:rPr>
        <w:t>201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Cs w:val="32"/>
        </w:rPr>
        <w:t>年</w:t>
      </w:r>
      <w:r>
        <w:rPr>
          <w:rFonts w:hint="eastAsia" w:hAnsi="华文中宋" w:eastAsia="仿宋_GB2312"/>
          <w:b w:val="0"/>
          <w:bCs w:val="0"/>
          <w:szCs w:val="32"/>
          <w:lang w:eastAsia="zh-CN"/>
        </w:rPr>
        <w:t>广元经济技术开发区管理委员会</w:t>
      </w:r>
      <w:r>
        <w:rPr>
          <w:rFonts w:hint="eastAsia" w:ascii="仿宋_GB2312" w:eastAsia="仿宋_GB2312"/>
          <w:szCs w:val="32"/>
        </w:rPr>
        <w:t>财政拨款安排“三公”经费预算</w:t>
      </w:r>
      <w:r>
        <w:rPr>
          <w:rFonts w:hint="eastAsia" w:ascii="仿宋_GB2312" w:eastAsia="仿宋_GB2312"/>
          <w:szCs w:val="32"/>
          <w:lang w:val="en-US" w:eastAsia="zh-CN"/>
        </w:rPr>
        <w:t>138</w:t>
      </w:r>
      <w:r>
        <w:rPr>
          <w:rFonts w:hint="eastAsia" w:ascii="仿宋_GB2312" w:eastAsia="仿宋_GB2312"/>
          <w:szCs w:val="32"/>
        </w:rPr>
        <w:t>万元</w:t>
      </w:r>
      <w:r>
        <w:rPr>
          <w:rFonts w:hint="eastAsia" w:ascii="仿宋_GB2312" w:eastAsia="仿宋_GB2312"/>
          <w:szCs w:val="32"/>
          <w:lang w:eastAsia="zh-CN"/>
        </w:rPr>
        <w:t>，其中：</w:t>
      </w:r>
      <w:r>
        <w:rPr>
          <w:rFonts w:hint="eastAsia" w:ascii="仿宋_GB2312" w:eastAsia="仿宋_GB2312"/>
          <w:b w:val="0"/>
          <w:bCs w:val="0"/>
          <w:szCs w:val="32"/>
        </w:rPr>
        <w:t>无因公出国（境）费用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Cs w:val="32"/>
        </w:rPr>
        <w:t>安排公务接待费预算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102</w:t>
      </w:r>
      <w:r>
        <w:rPr>
          <w:rFonts w:hint="eastAsia" w:ascii="仿宋_GB2312" w:eastAsia="仿宋_GB2312"/>
          <w:b w:val="0"/>
          <w:bCs w:val="0"/>
          <w:szCs w:val="32"/>
        </w:rPr>
        <w:t>万元，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主要为招商引资接待；安排公务用车运行费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36万元，主要为</w:t>
      </w:r>
      <w:r>
        <w:rPr>
          <w:rFonts w:hint="eastAsia" w:ascii="仿宋_GB2312" w:eastAsia="仿宋_GB2312"/>
          <w:b w:val="0"/>
          <w:bCs w:val="0"/>
          <w:szCs w:val="32"/>
          <w:lang w:eastAsia="zh-CN"/>
        </w:rPr>
        <w:t>区公安分局和区办公室公务车运行费用</w:t>
      </w:r>
      <w:r>
        <w:rPr>
          <w:rFonts w:hint="eastAsia" w:ascii="仿宋_GB2312" w:eastAsia="仿宋_GB2312"/>
          <w:b w:val="0"/>
          <w:bCs w:val="0"/>
          <w:szCs w:val="32"/>
        </w:rPr>
        <w:t>。</w:t>
      </w:r>
    </w:p>
    <w:p>
      <w:pPr>
        <w:spacing w:line="560" w:lineRule="exact"/>
        <w:ind w:firstLine="646"/>
        <w:rPr>
          <w:rFonts w:hint="eastAsia" w:eastAsia="仿宋_GB2312"/>
          <w:b w:val="0"/>
          <w:bCs w:val="0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AF786"/>
    <w:multiLevelType w:val="singleLevel"/>
    <w:tmpl w:val="58EAF78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CD32E5"/>
    <w:rsid w:val="EFFF6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Char"/>
    <w:basedOn w:val="1"/>
    <w:link w:val="6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character" w:styleId="8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353</Words>
  <Characters>2015</Characters>
  <Lines>16</Lines>
  <Paragraphs>4</Paragraphs>
  <TotalTime>0</TotalTime>
  <ScaleCrop>false</ScaleCrop>
  <LinksUpToDate>false</LinksUpToDate>
  <CharactersWithSpaces>2364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2015-02-05T01:48:00Z</dcterms:created>
  <dc:creator>computer</dc:creator>
  <cp:lastModifiedBy>user</cp:lastModifiedBy>
  <cp:lastPrinted>2017-04-10T22:21:00Z</cp:lastPrinted>
  <dcterms:modified xsi:type="dcterms:W3CDTF">2025-01-07T16:11:55Z</dcterms:modified>
  <dc:title>广元经济技术开发区管理委员会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