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96597"/>
      <w:bookmarkStart w:id="3" w:name="_Toc15377193"/>
      <w:bookmarkStart w:id="4" w:name="_Toc15378441"/>
      <w:bookmarkStart w:id="5" w:name="_Toc1539647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96476"/>
      <w:bookmarkStart w:id="7" w:name="_Toc15377426"/>
      <w:bookmarkStart w:id="8" w:name="_Toc15396598"/>
      <w:bookmarkStart w:id="9" w:name="_Toc15378442"/>
      <w:bookmarkStart w:id="10" w:name="_Toc15377194"/>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广元经开区袁家坝办事处</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jc w:val="center"/>
        <w:rPr>
          <w:rFonts w:hint="eastAsia" w:ascii="黑体" w:hAnsi="黑体" w:eastAsia="黑体"/>
          <w:color w:val="auto"/>
          <w:sz w:val="48"/>
          <w:szCs w:val="48"/>
          <w:highlight w:val="none"/>
        </w:rPr>
      </w:pPr>
    </w:p>
    <w:p>
      <w:pPr>
        <w:widowControl/>
        <w:ind w:firstLine="3840" w:firstLineChars="800"/>
        <w:jc w:val="both"/>
        <w:rPr>
          <w:rFonts w:hint="eastAsia" w:ascii="黑体" w:hAnsi="黑体" w:eastAsia="黑体"/>
          <w:color w:val="auto"/>
          <w:sz w:val="48"/>
          <w:szCs w:val="48"/>
          <w:highlight w:val="none"/>
        </w:rPr>
      </w:pPr>
    </w:p>
    <w:p>
      <w:pPr>
        <w:widowControl/>
        <w:ind w:firstLine="3600" w:firstLineChars="1000"/>
        <w:jc w:val="both"/>
        <w:rPr>
          <w:rFonts w:hint="eastAsia" w:ascii="黑体" w:hAnsi="黑体" w:eastAsia="黑体"/>
          <w:color w:val="auto"/>
          <w:sz w:val="36"/>
          <w:szCs w:val="36"/>
          <w:highlight w:val="none"/>
        </w:rPr>
      </w:pPr>
    </w:p>
    <w:p>
      <w:pPr>
        <w:widowControl/>
        <w:ind w:firstLine="3600" w:firstLineChars="1000"/>
        <w:jc w:val="both"/>
        <w:rPr>
          <w:rFonts w:ascii="黑体" w:hAnsi="黑体" w:eastAsia="黑体"/>
          <w:color w:val="auto"/>
          <w:sz w:val="36"/>
          <w:szCs w:val="36"/>
          <w:highlight w:val="none"/>
        </w:rPr>
      </w:pPr>
      <w:r>
        <w:rPr>
          <w:rFonts w:hint="eastAsia" w:ascii="黑体" w:hAnsi="黑体" w:eastAsia="黑体"/>
          <w:color w:val="auto"/>
          <w:sz w:val="36"/>
          <w:szCs w:val="36"/>
          <w:highlight w:val="none"/>
        </w:rPr>
        <w:t>目</w:t>
      </w:r>
      <w:r>
        <w:rPr>
          <w:rFonts w:hint="eastAsia" w:ascii="黑体" w:hAnsi="黑体" w:eastAsia="黑体"/>
          <w:color w:val="auto"/>
          <w:sz w:val="36"/>
          <w:szCs w:val="36"/>
          <w:highlight w:val="none"/>
          <w:lang w:val="en-US" w:eastAsia="zh-CN"/>
        </w:rPr>
        <w:t xml:space="preserve">  </w:t>
      </w:r>
      <w:r>
        <w:rPr>
          <w:rFonts w:hint="eastAsia" w:ascii="黑体" w:hAnsi="黑体" w:eastAsia="黑体"/>
          <w:color w:val="auto"/>
          <w:sz w:val="36"/>
          <w:szCs w:val="36"/>
          <w:highlight w:val="none"/>
        </w:rPr>
        <w:t>录</w:t>
      </w:r>
    </w:p>
    <w:p>
      <w:pPr>
        <w:pStyle w:val="13"/>
        <w:tabs>
          <w:tab w:val="left" w:pos="7037"/>
          <w:tab w:val="clear" w:pos="8296"/>
        </w:tabs>
        <w:ind w:firstLine="2400" w:firstLineChars="1000"/>
        <w:jc w:val="both"/>
        <w:rPr>
          <w:rFonts w:hint="eastAsia" w:eastAsia="仿宋"/>
          <w:color w:val="auto"/>
          <w:sz w:val="24"/>
          <w:szCs w:val="24"/>
          <w:highlight w:val="none"/>
          <w:lang w:eastAsia="zh-CN"/>
        </w:rPr>
      </w:pPr>
      <w:r>
        <w:rPr>
          <w:rFonts w:hint="eastAsia"/>
          <w:color w:val="auto"/>
          <w:sz w:val="24"/>
          <w:szCs w:val="24"/>
          <w:highlight w:val="none"/>
        </w:rPr>
        <w:t>公开时间：20</w:t>
      </w:r>
      <w:r>
        <w:rPr>
          <w:rFonts w:hint="eastAsia"/>
          <w:color w:val="auto"/>
          <w:sz w:val="24"/>
          <w:szCs w:val="24"/>
          <w:highlight w:val="none"/>
          <w:lang w:val="en-US" w:eastAsia="zh-CN"/>
        </w:rPr>
        <w:t>23</w:t>
      </w:r>
      <w:r>
        <w:rPr>
          <w:rFonts w:hint="eastAsia"/>
          <w:color w:val="auto"/>
          <w:sz w:val="24"/>
          <w:szCs w:val="24"/>
          <w:highlight w:val="none"/>
        </w:rPr>
        <w:t>年</w:t>
      </w:r>
      <w:r>
        <w:rPr>
          <w:rFonts w:hint="eastAsia"/>
          <w:color w:val="auto"/>
          <w:sz w:val="24"/>
          <w:szCs w:val="24"/>
          <w:highlight w:val="none"/>
          <w:lang w:val="en-US" w:eastAsia="zh-CN"/>
        </w:rPr>
        <w:t xml:space="preserve"> </w:t>
      </w:r>
      <w:r>
        <w:rPr>
          <w:rFonts w:hint="default"/>
          <w:color w:val="auto"/>
          <w:sz w:val="24"/>
          <w:szCs w:val="24"/>
          <w:highlight w:val="none"/>
          <w:lang w:eastAsia="zh-CN"/>
        </w:rPr>
        <w:t>10</w:t>
      </w:r>
      <w:r>
        <w:rPr>
          <w:rFonts w:hint="eastAsia"/>
          <w:color w:val="auto"/>
          <w:sz w:val="24"/>
          <w:szCs w:val="24"/>
          <w:highlight w:val="none"/>
        </w:rPr>
        <w:t>月</w:t>
      </w:r>
      <w:r>
        <w:rPr>
          <w:rFonts w:hint="eastAsia"/>
          <w:color w:val="auto"/>
          <w:sz w:val="24"/>
          <w:szCs w:val="24"/>
          <w:highlight w:val="none"/>
          <w:lang w:val="en-US" w:eastAsia="zh-CN"/>
        </w:rPr>
        <w:t xml:space="preserve">10 </w:t>
      </w:r>
      <w:r>
        <w:rPr>
          <w:rFonts w:hint="eastAsia"/>
          <w:color w:val="auto"/>
          <w:sz w:val="24"/>
          <w:szCs w:val="24"/>
          <w:highlight w:val="none"/>
        </w:rPr>
        <w:t>日</w:t>
      </w:r>
      <w:bookmarkStart w:id="67" w:name="_GoBack"/>
      <w:bookmarkEnd w:id="67"/>
      <w:r>
        <w:rPr>
          <w:rFonts w:hint="eastAsia"/>
          <w:color w:val="auto"/>
          <w:sz w:val="24"/>
          <w:szCs w:val="24"/>
          <w:highlight w:val="none"/>
          <w:lang w:eastAsia="zh-CN"/>
        </w:rPr>
        <w:tab/>
      </w:r>
    </w:p>
    <w:p>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cstheme="minorBidi"/>
          <w:color w:val="auto"/>
          <w:sz w:val="21"/>
          <w:szCs w:val="21"/>
          <w:highlight w:val="none"/>
        </w:rPr>
      </w:pPr>
      <w:r>
        <w:rPr>
          <w:rFonts w:hint="eastAsia"/>
          <w:color w:val="auto"/>
          <w:sz w:val="21"/>
          <w:szCs w:val="21"/>
          <w:highlight w:val="none"/>
        </w:rPr>
        <w:t>第一部分</w:t>
      </w:r>
      <w:r>
        <w:rPr>
          <w:color w:val="auto"/>
          <w:sz w:val="21"/>
          <w:szCs w:val="21"/>
          <w:highlight w:val="none"/>
        </w:rPr>
        <w:t xml:space="preserve"> </w:t>
      </w:r>
      <w:r>
        <w:rPr>
          <w:rFonts w:hint="eastAsia"/>
          <w:color w:val="auto"/>
          <w:sz w:val="21"/>
          <w:szCs w:val="21"/>
          <w:highlight w:val="none"/>
          <w:lang w:eastAsia="zh-CN"/>
        </w:rPr>
        <w:t>单位</w:t>
      </w:r>
      <w:r>
        <w:rPr>
          <w:rFonts w:hint="eastAsia"/>
          <w:color w:val="auto"/>
          <w:sz w:val="21"/>
          <w:szCs w:val="21"/>
          <w:highlight w:val="none"/>
        </w:rPr>
        <w:t>概况</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eastAsia"/>
          <w:color w:val="auto"/>
          <w:sz w:val="21"/>
          <w:szCs w:val="21"/>
          <w:highlight w:val="none"/>
          <w:lang w:val="en-US" w:eastAsia="zh-CN"/>
        </w:rPr>
      </w:pPr>
      <w:r>
        <w:rPr>
          <w:rFonts w:hint="eastAsia"/>
          <w:color w:val="auto"/>
          <w:sz w:val="21"/>
          <w:szCs w:val="21"/>
          <w:highlight w:val="none"/>
        </w:rPr>
        <w:t>一、</w:t>
      </w:r>
      <w:r>
        <w:rPr>
          <w:rFonts w:hint="eastAsia"/>
          <w:color w:val="auto"/>
          <w:sz w:val="21"/>
          <w:szCs w:val="21"/>
          <w:highlight w:val="none"/>
          <w:lang w:eastAsia="zh-CN"/>
        </w:rPr>
        <w:t>主要职责</w:t>
      </w:r>
      <w:r>
        <w:rPr>
          <w:sz w:val="21"/>
          <w:szCs w:val="21"/>
        </w:rPr>
        <w:tab/>
      </w:r>
      <w:r>
        <w:rPr>
          <w:rFonts w:hint="eastAsia"/>
          <w:color w:val="auto"/>
          <w:sz w:val="21"/>
          <w:szCs w:val="21"/>
          <w:highlight w:val="none"/>
          <w:lang w:val="en-US" w:eastAsia="zh-CN"/>
        </w:rPr>
        <w:t>3</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lang w:val="en-US" w:eastAsia="zh-CN"/>
        </w:rPr>
      </w:pPr>
      <w:r>
        <w:rPr>
          <w:rFonts w:hint="eastAsia"/>
          <w:color w:val="auto"/>
          <w:sz w:val="21"/>
          <w:szCs w:val="21"/>
          <w:highlight w:val="none"/>
          <w:lang w:eastAsia="zh-CN"/>
        </w:rPr>
        <w:t>二</w:t>
      </w:r>
      <w:r>
        <w:rPr>
          <w:rFonts w:hint="eastAsia"/>
          <w:color w:val="auto"/>
          <w:sz w:val="21"/>
          <w:szCs w:val="21"/>
          <w:highlight w:val="none"/>
        </w:rPr>
        <w:t>、</w:t>
      </w:r>
      <w:r>
        <w:rPr>
          <w:rFonts w:hint="eastAsia"/>
          <w:color w:val="auto"/>
          <w:sz w:val="21"/>
          <w:szCs w:val="21"/>
          <w:highlight w:val="none"/>
          <w:lang w:eastAsia="zh-CN"/>
        </w:rPr>
        <w:t>机构设</w:t>
      </w:r>
      <w:r>
        <w:rPr>
          <w:rFonts w:hint="eastAsia"/>
          <w:color w:val="auto"/>
          <w:sz w:val="21"/>
          <w:szCs w:val="21"/>
          <w:highlight w:val="none"/>
          <w:lang w:val="en-US" w:eastAsia="zh-CN"/>
        </w:rPr>
        <w:t>置</w:t>
      </w:r>
      <w:r>
        <w:rPr>
          <w:rFonts w:hint="eastAsia"/>
          <w:color w:val="auto"/>
          <w:sz w:val="21"/>
          <w:szCs w:val="21"/>
          <w:highlight w:val="none"/>
          <w:lang w:val="en-US" w:eastAsia="zh-CN"/>
        </w:rPr>
        <w:tab/>
      </w:r>
      <w:r>
        <w:rPr>
          <w:rFonts w:hint="eastAsia"/>
          <w:color w:val="auto"/>
          <w:sz w:val="21"/>
          <w:szCs w:val="21"/>
          <w:highlight w:val="none"/>
          <w:lang w:val="en-US" w:eastAsia="zh-CN"/>
        </w:rPr>
        <w:t xml:space="preserve"> 5</w:t>
      </w:r>
    </w:p>
    <w:p>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eastAsia="仿宋"/>
          <w:color w:val="auto"/>
          <w:sz w:val="21"/>
          <w:szCs w:val="21"/>
          <w:highlight w:val="none"/>
          <w:lang w:val="en-US" w:eastAsia="zh-CN"/>
        </w:rPr>
      </w:pPr>
      <w:r>
        <w:rPr>
          <w:rFonts w:hint="eastAsia"/>
          <w:color w:val="auto"/>
          <w:sz w:val="21"/>
          <w:szCs w:val="21"/>
          <w:highlight w:val="none"/>
        </w:rPr>
        <w:t>第二部分</w:t>
      </w:r>
      <w:r>
        <w:rPr>
          <w:rFonts w:hint="eastAsia"/>
          <w:color w:val="auto"/>
          <w:sz w:val="21"/>
          <w:szCs w:val="21"/>
          <w:highlight w:val="none"/>
          <w:lang w:val="en-US" w:eastAsia="zh-CN"/>
        </w:rPr>
        <w:t xml:space="preserve"> 2022年度</w:t>
      </w:r>
      <w:r>
        <w:rPr>
          <w:rFonts w:hint="eastAsia"/>
          <w:color w:val="auto"/>
          <w:sz w:val="21"/>
          <w:szCs w:val="21"/>
          <w:highlight w:val="none"/>
          <w:lang w:eastAsia="zh-CN"/>
        </w:rPr>
        <w:t>单位</w:t>
      </w:r>
      <w:r>
        <w:rPr>
          <w:rFonts w:hint="eastAsia"/>
          <w:color w:val="auto"/>
          <w:sz w:val="21"/>
          <w:szCs w:val="21"/>
          <w:highlight w:val="none"/>
        </w:rPr>
        <w:t>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6</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一、收入支出决算总体情况说明</w:t>
      </w:r>
      <w:r>
        <w:rPr>
          <w:rFonts w:hint="eastAsia"/>
          <w:color w:val="auto"/>
          <w:sz w:val="21"/>
          <w:szCs w:val="21"/>
          <w:highlight w:val="none"/>
          <w:lang w:val="en-US" w:eastAsia="zh-CN"/>
        </w:rPr>
        <w:tab/>
      </w:r>
      <w:r>
        <w:rPr>
          <w:rFonts w:hint="eastAsia"/>
          <w:color w:val="auto"/>
          <w:sz w:val="21"/>
          <w:szCs w:val="21"/>
          <w:highlight w:val="none"/>
          <w:lang w:val="en-US" w:eastAsia="zh-CN"/>
        </w:rPr>
        <w:t>6</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二、收入决算情况说明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6</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三、支出决算情况说明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7</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四、财政拨款收入支出决算总体情况说明</w:t>
      </w:r>
      <w:r>
        <w:rPr>
          <w:rFonts w:hint="eastAsia"/>
          <w:color w:val="auto"/>
          <w:sz w:val="21"/>
          <w:szCs w:val="21"/>
          <w:highlight w:val="none"/>
          <w:lang w:val="en-US" w:eastAsia="zh-CN"/>
        </w:rPr>
        <w:tab/>
      </w:r>
      <w:r>
        <w:rPr>
          <w:rFonts w:hint="eastAsia"/>
          <w:color w:val="auto"/>
          <w:sz w:val="21"/>
          <w:szCs w:val="21"/>
          <w:highlight w:val="none"/>
          <w:lang w:val="en-US" w:eastAsia="zh-CN"/>
        </w:rPr>
        <w:t>8</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五、一般公共预算财政拨款支出决算情况说明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9</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六、一般公共预算财政拨款基本支出决算情况说明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14</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七、财政拨款</w:t>
      </w:r>
      <w:r>
        <w:rPr>
          <w:rFonts w:hint="eastAsia"/>
          <w:color w:val="auto"/>
          <w:sz w:val="21"/>
          <w:szCs w:val="21"/>
          <w:highlight w:val="none"/>
          <w:lang w:eastAsia="zh-CN"/>
        </w:rPr>
        <w:t>“</w:t>
      </w:r>
      <w:r>
        <w:rPr>
          <w:rFonts w:hint="eastAsia"/>
          <w:color w:val="auto"/>
          <w:sz w:val="21"/>
          <w:szCs w:val="21"/>
          <w:highlight w:val="none"/>
        </w:rPr>
        <w:t>三公”经费支出决算情况说明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15</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八、政府性基金预算支出决算情况说明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17</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九、国有资本经营预算支出决算情况说明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17</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十、其他重要事项的情况说明</w:t>
      </w:r>
      <w:r>
        <w:rPr>
          <w:rFonts w:hint="eastAsia"/>
          <w:color w:val="auto"/>
          <w:sz w:val="21"/>
          <w:szCs w:val="21"/>
          <w:highlight w:val="none"/>
          <w:lang w:val="en-US" w:eastAsia="zh-CN"/>
        </w:rPr>
        <w:tab/>
      </w:r>
      <w:r>
        <w:rPr>
          <w:rFonts w:hint="eastAsia"/>
          <w:color w:val="auto"/>
          <w:sz w:val="21"/>
          <w:szCs w:val="21"/>
          <w:highlight w:val="none"/>
          <w:lang w:val="en-US" w:eastAsia="zh-CN"/>
        </w:rPr>
        <w:t>17</w:t>
      </w:r>
    </w:p>
    <w:p>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eastAsia="仿宋" w:cstheme="minorBidi"/>
          <w:color w:val="auto"/>
          <w:sz w:val="21"/>
          <w:szCs w:val="21"/>
          <w:highlight w:val="none"/>
          <w:lang w:val="en-US" w:eastAsia="zh-CN"/>
        </w:rPr>
      </w:pPr>
      <w:r>
        <w:rPr>
          <w:rFonts w:hint="eastAsia"/>
          <w:color w:val="auto"/>
          <w:sz w:val="21"/>
          <w:szCs w:val="21"/>
          <w:highlight w:val="none"/>
        </w:rPr>
        <w:t>第三部分</w:t>
      </w:r>
      <w:r>
        <w:rPr>
          <w:color w:val="auto"/>
          <w:sz w:val="21"/>
          <w:szCs w:val="21"/>
          <w:highlight w:val="none"/>
        </w:rPr>
        <w:t xml:space="preserve"> </w:t>
      </w:r>
      <w:r>
        <w:rPr>
          <w:rFonts w:hint="eastAsia"/>
          <w:color w:val="auto"/>
          <w:sz w:val="21"/>
          <w:szCs w:val="21"/>
          <w:highlight w:val="none"/>
        </w:rPr>
        <w:t>名词解释</w:t>
      </w:r>
      <w:r>
        <w:rPr>
          <w:rFonts w:hint="eastAsia"/>
          <w:color w:val="auto"/>
          <w:sz w:val="21"/>
          <w:szCs w:val="21"/>
          <w:highlight w:val="none"/>
          <w:lang w:val="en-US" w:eastAsia="zh-CN"/>
        </w:rPr>
        <w:tab/>
      </w:r>
      <w:r>
        <w:rPr>
          <w:rFonts w:hint="eastAsia"/>
          <w:color w:val="auto"/>
          <w:sz w:val="21"/>
          <w:szCs w:val="21"/>
          <w:highlight w:val="none"/>
          <w:lang w:val="en-US" w:eastAsia="zh-CN"/>
        </w:rPr>
        <w:t>19</w:t>
      </w:r>
    </w:p>
    <w:p>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eastAsia="仿宋" w:cstheme="minorBidi"/>
          <w:color w:val="auto"/>
          <w:sz w:val="21"/>
          <w:szCs w:val="21"/>
          <w:highlight w:val="none"/>
          <w:lang w:val="en-US" w:eastAsia="zh-CN"/>
        </w:rPr>
      </w:pPr>
      <w:r>
        <w:rPr>
          <w:rFonts w:hint="eastAsia"/>
          <w:color w:val="auto"/>
          <w:sz w:val="21"/>
          <w:szCs w:val="21"/>
          <w:highlight w:val="none"/>
        </w:rPr>
        <w:t>第四部分</w:t>
      </w:r>
      <w:r>
        <w:rPr>
          <w:color w:val="auto"/>
          <w:sz w:val="21"/>
          <w:szCs w:val="21"/>
          <w:highlight w:val="none"/>
        </w:rPr>
        <w:t xml:space="preserve"> </w:t>
      </w:r>
      <w:r>
        <w:rPr>
          <w:rFonts w:hint="eastAsia"/>
          <w:color w:val="auto"/>
          <w:sz w:val="21"/>
          <w:szCs w:val="21"/>
          <w:highlight w:val="none"/>
        </w:rPr>
        <w:t>附件</w:t>
      </w:r>
      <w:r>
        <w:rPr>
          <w:rFonts w:hint="eastAsia"/>
          <w:color w:val="auto"/>
          <w:sz w:val="21"/>
          <w:szCs w:val="21"/>
          <w:highlight w:val="none"/>
          <w:lang w:val="en-US" w:eastAsia="zh-CN"/>
        </w:rPr>
        <w:tab/>
      </w:r>
      <w:r>
        <w:rPr>
          <w:rFonts w:hint="eastAsia"/>
          <w:color w:val="auto"/>
          <w:sz w:val="21"/>
          <w:szCs w:val="21"/>
          <w:highlight w:val="none"/>
          <w:lang w:val="en-US" w:eastAsia="zh-CN"/>
        </w:rPr>
        <w:t>24</w:t>
      </w:r>
    </w:p>
    <w:p>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eastAsia="仿宋" w:cstheme="minorBidi"/>
          <w:color w:val="auto"/>
          <w:sz w:val="21"/>
          <w:szCs w:val="21"/>
          <w:highlight w:val="none"/>
          <w:lang w:val="en-US" w:eastAsia="zh-CN"/>
        </w:rPr>
      </w:pPr>
      <w:r>
        <w:rPr>
          <w:rFonts w:hint="eastAsia"/>
          <w:color w:val="auto"/>
          <w:sz w:val="21"/>
          <w:szCs w:val="21"/>
          <w:highlight w:val="none"/>
        </w:rPr>
        <w:t>第五部分</w:t>
      </w:r>
      <w:r>
        <w:rPr>
          <w:color w:val="auto"/>
          <w:sz w:val="21"/>
          <w:szCs w:val="21"/>
          <w:highlight w:val="none"/>
        </w:rPr>
        <w:t xml:space="preserve"> </w:t>
      </w:r>
      <w:r>
        <w:rPr>
          <w:rFonts w:hint="eastAsia"/>
          <w:color w:val="auto"/>
          <w:sz w:val="21"/>
          <w:szCs w:val="21"/>
          <w:highlight w:val="none"/>
        </w:rPr>
        <w:t>附表</w:t>
      </w:r>
      <w:r>
        <w:rPr>
          <w:rFonts w:hint="eastAsia"/>
          <w:color w:val="auto"/>
          <w:sz w:val="21"/>
          <w:szCs w:val="21"/>
          <w:highlight w:val="none"/>
          <w:lang w:val="en-US" w:eastAsia="zh-CN"/>
        </w:rPr>
        <w:tab/>
      </w:r>
      <w:r>
        <w:rPr>
          <w:rFonts w:hint="eastAsia"/>
          <w:color w:val="auto"/>
          <w:sz w:val="21"/>
          <w:szCs w:val="21"/>
          <w:highlight w:val="none"/>
          <w:lang w:val="en-US" w:eastAsia="zh-CN"/>
        </w:rPr>
        <w:t>31</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一、收入支出决算总表</w:t>
      </w:r>
      <w:r>
        <w:rPr>
          <w:rFonts w:hint="eastAsia"/>
          <w:color w:val="auto"/>
          <w:sz w:val="21"/>
          <w:szCs w:val="21"/>
          <w:highlight w:val="none"/>
          <w:lang w:val="en-US" w:eastAsia="zh-CN"/>
        </w:rPr>
        <w:tab/>
      </w:r>
      <w:r>
        <w:rPr>
          <w:rFonts w:hint="eastAsia"/>
          <w:color w:val="auto"/>
          <w:sz w:val="21"/>
          <w:szCs w:val="21"/>
          <w:highlight w:val="none"/>
          <w:lang w:val="en-US" w:eastAsia="zh-CN"/>
        </w:rPr>
        <w:t>31</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二、收入决算表</w:t>
      </w:r>
      <w:r>
        <w:rPr>
          <w:rFonts w:hint="eastAsia"/>
          <w:color w:val="auto"/>
          <w:sz w:val="21"/>
          <w:szCs w:val="21"/>
          <w:highlight w:val="none"/>
          <w:lang w:val="en-US" w:eastAsia="zh-CN"/>
        </w:rPr>
        <w:tab/>
      </w:r>
      <w:r>
        <w:rPr>
          <w:rFonts w:hint="eastAsia"/>
          <w:color w:val="auto"/>
          <w:sz w:val="21"/>
          <w:szCs w:val="21"/>
          <w:highlight w:val="none"/>
          <w:lang w:val="en-US" w:eastAsia="zh-CN"/>
        </w:rPr>
        <w:t>31</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三、支出决算表</w:t>
      </w:r>
      <w:r>
        <w:rPr>
          <w:rFonts w:hint="eastAsia"/>
          <w:color w:val="auto"/>
          <w:sz w:val="21"/>
          <w:szCs w:val="21"/>
          <w:highlight w:val="none"/>
          <w:lang w:val="en-US" w:eastAsia="zh-CN"/>
        </w:rPr>
        <w:tab/>
      </w:r>
      <w:r>
        <w:rPr>
          <w:rFonts w:hint="eastAsia"/>
          <w:color w:val="auto"/>
          <w:sz w:val="21"/>
          <w:szCs w:val="21"/>
          <w:highlight w:val="none"/>
          <w:lang w:val="en-US" w:eastAsia="zh-CN"/>
        </w:rPr>
        <w:t>31</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四、财政拨款收入支出决算总表</w:t>
      </w:r>
      <w:r>
        <w:rPr>
          <w:rFonts w:hint="eastAsia"/>
          <w:color w:val="auto"/>
          <w:sz w:val="21"/>
          <w:szCs w:val="21"/>
          <w:highlight w:val="none"/>
          <w:lang w:val="en-US" w:eastAsia="zh-CN"/>
        </w:rPr>
        <w:tab/>
      </w:r>
      <w:r>
        <w:rPr>
          <w:rFonts w:hint="eastAsia"/>
          <w:color w:val="auto"/>
          <w:sz w:val="21"/>
          <w:szCs w:val="21"/>
          <w:highlight w:val="none"/>
          <w:lang w:val="en-US" w:eastAsia="zh-CN"/>
        </w:rPr>
        <w:t>31</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五、财政拨款支出决算明细表</w:t>
      </w:r>
      <w:r>
        <w:rPr>
          <w:rFonts w:hint="eastAsia"/>
          <w:color w:val="auto"/>
          <w:sz w:val="21"/>
          <w:szCs w:val="21"/>
          <w:highlight w:val="none"/>
          <w:lang w:val="en-US" w:eastAsia="zh-CN"/>
        </w:rPr>
        <w:tab/>
      </w:r>
      <w:r>
        <w:rPr>
          <w:rFonts w:hint="eastAsia"/>
          <w:color w:val="auto"/>
          <w:sz w:val="21"/>
          <w:szCs w:val="21"/>
          <w:highlight w:val="none"/>
          <w:lang w:val="en-US" w:eastAsia="zh-CN"/>
        </w:rPr>
        <w:t>31</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六、一般公共预算财政拨款支出决算表</w:t>
      </w:r>
      <w:r>
        <w:rPr>
          <w:rFonts w:hint="eastAsia"/>
          <w:color w:val="auto"/>
          <w:sz w:val="21"/>
          <w:szCs w:val="21"/>
          <w:highlight w:val="none"/>
          <w:lang w:val="en-US" w:eastAsia="zh-CN"/>
        </w:rPr>
        <w:tab/>
      </w:r>
      <w:r>
        <w:rPr>
          <w:rFonts w:hint="eastAsia"/>
          <w:color w:val="auto"/>
          <w:sz w:val="21"/>
          <w:szCs w:val="21"/>
          <w:highlight w:val="none"/>
          <w:lang w:val="en-US" w:eastAsia="zh-CN"/>
        </w:rPr>
        <w:t>31</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七、一般公共预算财政拨款支出决算明细表</w:t>
      </w:r>
      <w:r>
        <w:rPr>
          <w:rFonts w:hint="eastAsia"/>
          <w:color w:val="auto"/>
          <w:sz w:val="21"/>
          <w:szCs w:val="21"/>
          <w:highlight w:val="none"/>
          <w:lang w:val="en-US" w:eastAsia="zh-CN"/>
        </w:rPr>
        <w:tab/>
      </w:r>
      <w:r>
        <w:rPr>
          <w:rFonts w:hint="eastAsia"/>
          <w:color w:val="auto"/>
          <w:sz w:val="21"/>
          <w:szCs w:val="21"/>
          <w:highlight w:val="none"/>
          <w:lang w:val="en-US" w:eastAsia="zh-CN"/>
        </w:rPr>
        <w:t>31</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八、一般公共预算财政拨款基本支出决算</w:t>
      </w:r>
      <w:r>
        <w:rPr>
          <w:rFonts w:hint="eastAsia"/>
          <w:color w:val="auto"/>
          <w:sz w:val="21"/>
          <w:szCs w:val="21"/>
          <w:highlight w:val="none"/>
          <w:lang w:eastAsia="zh-CN"/>
        </w:rPr>
        <w:t>明细</w:t>
      </w:r>
      <w:r>
        <w:rPr>
          <w:rFonts w:hint="eastAsia"/>
          <w:color w:val="auto"/>
          <w:sz w:val="21"/>
          <w:szCs w:val="21"/>
          <w:highlight w:val="none"/>
        </w:rPr>
        <w:t>表</w:t>
      </w:r>
      <w:r>
        <w:rPr>
          <w:rFonts w:hint="eastAsia"/>
          <w:color w:val="auto"/>
          <w:sz w:val="21"/>
          <w:szCs w:val="21"/>
          <w:highlight w:val="none"/>
          <w:lang w:val="en-US" w:eastAsia="zh-CN"/>
        </w:rPr>
        <w:tab/>
      </w:r>
      <w:r>
        <w:rPr>
          <w:rFonts w:hint="eastAsia"/>
          <w:color w:val="auto"/>
          <w:sz w:val="21"/>
          <w:szCs w:val="21"/>
          <w:highlight w:val="none"/>
          <w:lang w:val="en-US" w:eastAsia="zh-CN"/>
        </w:rPr>
        <w:t>31</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九、一般公共预算财政拨款项目支出决算表</w:t>
      </w:r>
      <w:r>
        <w:rPr>
          <w:rFonts w:hint="eastAsia"/>
          <w:color w:val="auto"/>
          <w:sz w:val="21"/>
          <w:szCs w:val="21"/>
          <w:highlight w:val="none"/>
          <w:lang w:val="en-US" w:eastAsia="zh-CN"/>
        </w:rPr>
        <w:tab/>
      </w:r>
      <w:r>
        <w:rPr>
          <w:rFonts w:hint="eastAsia"/>
          <w:color w:val="auto"/>
          <w:sz w:val="21"/>
          <w:szCs w:val="21"/>
          <w:highlight w:val="none"/>
          <w:lang w:val="en-US" w:eastAsia="zh-CN"/>
        </w:rPr>
        <w:t>31</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十、政府性基金预算财政拨款收入支出决算表</w:t>
      </w:r>
      <w:r>
        <w:rPr>
          <w:rFonts w:hint="eastAsia"/>
          <w:color w:val="auto"/>
          <w:sz w:val="21"/>
          <w:szCs w:val="21"/>
          <w:highlight w:val="none"/>
          <w:lang w:val="en-US" w:eastAsia="zh-CN"/>
        </w:rPr>
        <w:tab/>
      </w:r>
      <w:r>
        <w:rPr>
          <w:rFonts w:hint="eastAsia"/>
          <w:color w:val="auto"/>
          <w:sz w:val="21"/>
          <w:szCs w:val="21"/>
          <w:highlight w:val="none"/>
          <w:lang w:val="en-US" w:eastAsia="zh-CN"/>
        </w:rPr>
        <w:t>32</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十一、国有资本经营预算财政拨款收入支出决算表</w:t>
      </w:r>
      <w:r>
        <w:rPr>
          <w:rFonts w:hint="eastAsia"/>
          <w:color w:val="auto"/>
          <w:sz w:val="21"/>
          <w:szCs w:val="21"/>
          <w:highlight w:val="none"/>
          <w:lang w:val="en-US" w:eastAsia="zh-CN"/>
        </w:rPr>
        <w:tab/>
      </w:r>
      <w:r>
        <w:rPr>
          <w:rFonts w:hint="eastAsia"/>
          <w:color w:val="auto"/>
          <w:sz w:val="21"/>
          <w:szCs w:val="21"/>
          <w:highlight w:val="none"/>
          <w:lang w:val="en-US" w:eastAsia="zh-CN"/>
        </w:rPr>
        <w:t>31</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color w:val="auto"/>
          <w:sz w:val="21"/>
          <w:szCs w:val="21"/>
          <w:highlight w:val="none"/>
        </w:rPr>
      </w:pPr>
      <w:r>
        <w:rPr>
          <w:rFonts w:hint="eastAsia"/>
          <w:color w:val="auto"/>
          <w:sz w:val="21"/>
          <w:szCs w:val="21"/>
          <w:highlight w:val="none"/>
        </w:rPr>
        <w:t>十二、</w:t>
      </w:r>
      <w:r>
        <w:rPr>
          <w:rFonts w:hint="eastAsia"/>
          <w:color w:val="auto"/>
          <w:sz w:val="21"/>
          <w:szCs w:val="21"/>
          <w:highlight w:val="none"/>
          <w:lang w:val="en-US" w:eastAsia="zh-CN"/>
        </w:rPr>
        <w:t>国有资本经营预算财政拨款支出决算表</w:t>
      </w:r>
      <w:r>
        <w:rPr>
          <w:rFonts w:hint="eastAsia"/>
          <w:color w:val="auto"/>
          <w:sz w:val="21"/>
          <w:szCs w:val="21"/>
          <w:highlight w:val="none"/>
          <w:lang w:val="en-US" w:eastAsia="zh-CN"/>
        </w:rPr>
        <w:tab/>
      </w:r>
      <w:r>
        <w:rPr>
          <w:rFonts w:hint="eastAsia"/>
          <w:color w:val="auto"/>
          <w:sz w:val="21"/>
          <w:szCs w:val="21"/>
          <w:highlight w:val="none"/>
          <w:lang w:val="en-US" w:eastAsia="zh-CN"/>
        </w:rPr>
        <w:t>31</w:t>
      </w:r>
    </w:p>
    <w:p>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eastAsia"/>
          <w:color w:val="auto"/>
          <w:sz w:val="21"/>
          <w:szCs w:val="21"/>
          <w:highlight w:val="none"/>
        </w:rPr>
      </w:pPr>
      <w:r>
        <w:rPr>
          <w:rFonts w:hint="eastAsia"/>
          <w:color w:val="auto"/>
          <w:sz w:val="21"/>
          <w:szCs w:val="21"/>
          <w:highlight w:val="none"/>
        </w:rPr>
        <w:t>十三、财政拨款“三公”经费支出决算表</w:t>
      </w:r>
      <w:r>
        <w:rPr>
          <w:rFonts w:hint="eastAsia"/>
          <w:color w:val="auto"/>
          <w:sz w:val="21"/>
          <w:szCs w:val="21"/>
          <w:highlight w:val="none"/>
          <w:lang w:val="en-US" w:eastAsia="zh-CN"/>
        </w:rPr>
        <w:tab/>
      </w:r>
      <w:r>
        <w:rPr>
          <w:rFonts w:hint="eastAsia"/>
          <w:color w:val="auto"/>
          <w:sz w:val="21"/>
          <w:szCs w:val="21"/>
          <w:highlight w:val="none"/>
          <w:lang w:val="en-US" w:eastAsia="zh-CN"/>
        </w:rPr>
        <w:t>31</w:t>
      </w:r>
    </w:p>
    <w:p>
      <w:pPr>
        <w:keepNext w:val="0"/>
        <w:keepLines w:val="0"/>
        <w:pageBreakBefore w:val="0"/>
        <w:widowControl/>
        <w:tabs>
          <w:tab w:val="right" w:leader="dot" w:pos="8296"/>
          <w:tab w:val="right" w:leader="dot" w:pos="8400"/>
        </w:tabs>
        <w:kinsoku/>
        <w:wordWrap/>
        <w:overflowPunct/>
        <w:topLinePunct w:val="0"/>
        <w:autoSpaceDE/>
        <w:autoSpaceDN/>
        <w:bidi w:val="0"/>
        <w:spacing w:line="440" w:lineRule="exact"/>
        <w:jc w:val="left"/>
        <w:textAlignment w:val="auto"/>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4"/>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8"/>
          <w:rFonts w:hint="eastAsia" w:ascii="黑体" w:hAnsi="黑体" w:eastAsia="黑体"/>
          <w:b w:val="0"/>
          <w:bCs w:val="0"/>
          <w:color w:val="auto"/>
          <w:highlight w:val="none"/>
        </w:rPr>
        <w:t>概况</w:t>
      </w:r>
      <w:bookmarkEnd w:id="12"/>
      <w:bookmarkEnd w:id="13"/>
    </w:p>
    <w:p>
      <w:pPr>
        <w:pStyle w:val="5"/>
        <w:numPr>
          <w:ilvl w:val="0"/>
          <w:numId w:val="1"/>
        </w:numPr>
        <w:ind w:left="210" w:leftChars="0" w:firstLineChars="0"/>
        <w:rPr>
          <w:rFonts w:hint="eastAsia" w:ascii="仿宋" w:hAnsi="仿宋" w:eastAsia="仿宋"/>
          <w:color w:val="auto"/>
          <w:sz w:val="32"/>
          <w:szCs w:val="32"/>
          <w:highlight w:val="none"/>
          <w:lang w:eastAsia="zh-CN"/>
        </w:rPr>
      </w:pPr>
      <w:bookmarkStart w:id="14" w:name="_Toc15396600"/>
      <w:bookmarkStart w:id="15" w:name="_Toc15377197"/>
      <w:r>
        <w:rPr>
          <w:rStyle w:val="29"/>
          <w:rFonts w:hint="eastAsia" w:ascii="黑体" w:hAnsi="黑体" w:eastAsia="黑体"/>
          <w:b w:val="0"/>
          <w:bCs w:val="0"/>
          <w:color w:val="auto"/>
          <w:highlight w:val="none"/>
          <w:lang w:eastAsia="zh-CN"/>
        </w:rPr>
        <w:t>主要职责</w:t>
      </w:r>
    </w:p>
    <w:p>
      <w:pPr>
        <w:pStyle w:val="5"/>
        <w:numPr>
          <w:ilvl w:val="0"/>
          <w:numId w:val="2"/>
        </w:numPr>
        <w:ind w:firstLine="640" w:firstLineChars="200"/>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t>主要职能</w:t>
      </w:r>
    </w:p>
    <w:p>
      <w:pPr>
        <w:pStyle w:val="5"/>
        <w:numPr>
          <w:ilvl w:val="0"/>
          <w:numId w:val="0"/>
        </w:numPr>
        <w:ind w:firstLine="960" w:firstLineChars="300"/>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t>负责辖区内企业服务、安全生产、信访维稳、房屋征收与补偿、计划生育、民政、劳动就业、社会保障、环境卫生等工作。</w:t>
      </w:r>
    </w:p>
    <w:p>
      <w:pPr>
        <w:pStyle w:val="5"/>
        <w:numPr>
          <w:ilvl w:val="0"/>
          <w:numId w:val="0"/>
        </w:numPr>
        <w:ind w:firstLine="960" w:firstLineChars="300"/>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t>（二）20</w:t>
      </w:r>
      <w:r>
        <w:rPr>
          <w:rFonts w:hint="eastAsia" w:ascii="仿宋" w:hAnsi="仿宋" w:eastAsia="仿宋"/>
          <w:b w:val="0"/>
          <w:bCs w:val="0"/>
          <w:color w:val="auto"/>
          <w:sz w:val="32"/>
          <w:szCs w:val="32"/>
          <w:highlight w:val="none"/>
          <w:lang w:val="en-US" w:eastAsia="zh-CN"/>
        </w:rPr>
        <w:t>22</w:t>
      </w:r>
      <w:r>
        <w:rPr>
          <w:rFonts w:hint="eastAsia" w:ascii="仿宋" w:hAnsi="仿宋" w:eastAsia="仿宋"/>
          <w:b w:val="0"/>
          <w:bCs w:val="0"/>
          <w:color w:val="auto"/>
          <w:sz w:val="32"/>
          <w:szCs w:val="32"/>
          <w:highlight w:val="none"/>
          <w:lang w:eastAsia="zh-CN"/>
        </w:rPr>
        <w:t>年重点工作</w:t>
      </w:r>
    </w:p>
    <w:p>
      <w:pPr>
        <w:spacing w:line="600" w:lineRule="exact"/>
        <w:ind w:firstLine="960" w:firstLineChars="3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2022年</w:t>
      </w:r>
      <w:r>
        <w:rPr>
          <w:rFonts w:hint="eastAsia" w:ascii="仿宋" w:hAnsi="仿宋" w:eastAsia="仿宋"/>
          <w:color w:val="auto"/>
          <w:sz w:val="32"/>
          <w:szCs w:val="32"/>
          <w:highlight w:val="none"/>
          <w:lang w:eastAsia="zh-CN"/>
        </w:rPr>
        <w:t>，袁家坝街道党工委、办事处坚定以习近平新时代中国特色社会主义思想为指导，坚决贯彻落实中央、省、市、区各项决策部署，坚持新发展理念，在常态化疫情防控中扎实做好“六稳”工作，全面落实“六保”任务，紧扣打赢“三大攻坚战”的整体目标，凝心聚力、开拓奋进，稳步推动各项工作。</w:t>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一是全力以赴做好新冠肺炎疫情防控。压实工作责任。成立了疫情防控工作领导小组，研究制定了疫情防控工作方案，实行网格化管理、日上报制度，加强宣传引导。组织各村（社区）充分利用微信群、村局委居委公示栏、LED屏、广播等方式，广泛宣传疫情防控知识。建立疫情监测防线。坚决落实属地管理责任，全面启动村（社区）防控工作。</w:t>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二是全力以赴防范化解社会重大风险。加强矛盾纠纷化解。加强综治维稳力度。成立综治工作领导小组，</w:t>
      </w:r>
      <w:r>
        <w:rPr>
          <w:rFonts w:hint="eastAsia" w:ascii="仿宋" w:hAnsi="仿宋" w:eastAsia="仿宋"/>
          <w:color w:val="auto"/>
          <w:sz w:val="32"/>
          <w:szCs w:val="32"/>
          <w:highlight w:val="none"/>
          <w:lang w:eastAsia="zh-CN"/>
        </w:rPr>
        <w:t>落实包片、分线、分段责任，重点时段落实重点举措，重点节点实行全员动员，</w:t>
      </w:r>
      <w:r>
        <w:rPr>
          <w:rFonts w:hint="eastAsia" w:ascii="仿宋" w:hAnsi="仿宋" w:eastAsia="仿宋"/>
          <w:color w:val="auto"/>
          <w:sz w:val="32"/>
          <w:szCs w:val="32"/>
          <w:highlight w:val="none"/>
          <w:lang w:val="en-US" w:eastAsia="zh-CN"/>
        </w:rPr>
        <w:t>深入推进护林防火，排查整改隐患</w:t>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三是全力以赴抓实项目投资。强力推进征地拆迁。</w:t>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四是全力以赴夯实产业基础。加强企业服务。实行班子成员挂联项目、企业制度，每周至少到场一次，明确自身的服务员、协调员、护航员职责定位，推动问题整改落实</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lang w:eastAsia="zh-CN"/>
        </w:rPr>
        <w:t>个。对辖区所有人员技能、务工需求等情况进行统计，及时与企业沟通对接，配合举办各类招聘会</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lang w:eastAsia="zh-CN"/>
        </w:rPr>
        <w:t>场次。加强产业发展。</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lang w:eastAsia="zh-CN"/>
        </w:rPr>
        <w:t>五是全力以赴抓实污染防治。</w:t>
      </w:r>
      <w:r>
        <w:rPr>
          <w:rFonts w:hint="eastAsia" w:ascii="仿宋" w:hAnsi="仿宋" w:eastAsia="仿宋"/>
          <w:color w:val="auto"/>
          <w:sz w:val="32"/>
          <w:szCs w:val="32"/>
          <w:highlight w:val="none"/>
          <w:lang w:val="en-US" w:eastAsia="zh-CN"/>
        </w:rPr>
        <w:t>落实常态化举措，全力以赴打好蓝天保卫战，严格落实大气污染防治工作“一长三员”职责，加强问题整改。结合环保督察“回头看”，农村人居环境综合治理，“散乱污”专项整治和秸秆禁烧等工作，做好“河（库）长制”工作，落实每月3次以上巡河制度。</w:t>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六是全力以赴保障改善民生。全面落实十大救助政策，城乡居保参保实现应保尽保，加强非洲猪瘟防疫防控，配合区动物防疫部门在春季对辖区生猪、畜禽、狗等进行了预防针注射，开展圈舍定期消毒等防疫防控工作</w:t>
      </w:r>
      <w:r>
        <w:rPr>
          <w:rFonts w:hint="eastAsia" w:ascii="仿宋" w:hAnsi="仿宋" w:eastAsia="仿宋"/>
          <w:color w:val="auto"/>
          <w:sz w:val="32"/>
          <w:szCs w:val="32"/>
          <w:highlight w:val="none"/>
          <w:lang w:eastAsia="zh-CN"/>
        </w:rPr>
        <w:t>。</w:t>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七是全力以赴推动城乡基层治理。推进村级建制调整改革。推动美丽宜居乡村建设。努力建设建设村容整洁、规范有序、环境优美的美丽宜居乡村。</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八是全力以赴推动全面从严治党。</w:t>
      </w:r>
      <w:r>
        <w:rPr>
          <w:rFonts w:hint="eastAsia" w:ascii="仿宋" w:hAnsi="仿宋" w:eastAsia="仿宋"/>
          <w:color w:val="auto"/>
          <w:sz w:val="32"/>
          <w:szCs w:val="32"/>
          <w:highlight w:val="none"/>
          <w:lang w:eastAsia="zh-CN"/>
        </w:rPr>
        <w:t>着力提高政治站位。始终把党的政治建设摆在第一位，增强“四个意识”，坚定“四个自信”，做到“两个维护”。着力强化问题整改。加强后备力量培养。</w:t>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二、机构设置</w:t>
      </w:r>
    </w:p>
    <w:bookmarkEnd w:id="14"/>
    <w:bookmarkEnd w:id="15"/>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袁家坝街道办事处下辖</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个行政村（上石村、覃家梁村）</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lang w:eastAsia="zh-CN"/>
        </w:rPr>
        <w:t>个社区（嘉陵社区、惠家沟社区、石盘社区）。实际财政供养总人数</w:t>
      </w:r>
      <w:r>
        <w:rPr>
          <w:rFonts w:hint="eastAsia" w:ascii="仿宋" w:hAnsi="仿宋" w:eastAsia="仿宋"/>
          <w:color w:val="auto"/>
          <w:sz w:val="32"/>
          <w:szCs w:val="32"/>
          <w:highlight w:val="none"/>
          <w:lang w:val="en-US" w:eastAsia="zh-CN"/>
        </w:rPr>
        <w:t>28</w:t>
      </w:r>
      <w:r>
        <w:rPr>
          <w:rFonts w:hint="eastAsia" w:ascii="仿宋" w:hAnsi="仿宋" w:eastAsia="仿宋"/>
          <w:color w:val="auto"/>
          <w:sz w:val="32"/>
          <w:szCs w:val="32"/>
          <w:highlight w:val="none"/>
          <w:lang w:eastAsia="zh-CN"/>
        </w:rPr>
        <w:t>人，其中：在职正式人员</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lang w:eastAsia="zh-CN"/>
        </w:rPr>
        <w:t>名，聘用人员</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lang w:eastAsia="zh-CN"/>
        </w:rPr>
        <w:t>名。</w:t>
      </w:r>
    </w:p>
    <w:p>
      <w:pPr>
        <w:ind w:firstLine="640" w:firstLineChars="200"/>
        <w:rPr>
          <w:rFonts w:hint="eastAsia" w:ascii="Times New Roman" w:hAnsi="楷体_GB2312" w:cs="楷体_GB2312"/>
          <w:color w:val="000000"/>
          <w:sz w:val="32"/>
          <w:szCs w:val="32"/>
          <w:lang w:eastAsia="zh-CN"/>
        </w:rPr>
      </w:pPr>
      <w:r>
        <w:rPr>
          <w:rFonts w:hint="eastAsia" w:ascii="Times New Roman" w:hAnsi="楷体_GB2312" w:cs="楷体_GB2312"/>
          <w:color w:val="000000"/>
          <w:sz w:val="32"/>
          <w:szCs w:val="32"/>
          <w:lang w:eastAsia="zh-CN"/>
        </w:rPr>
        <w:br w:type="page"/>
      </w:r>
    </w:p>
    <w:p>
      <w:pPr>
        <w:pStyle w:val="4"/>
        <w:ind w:right="440"/>
        <w:jc w:val="center"/>
        <w:rPr>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8"/>
          <w:rFonts w:hint="eastAsia" w:ascii="黑体" w:hAnsi="黑体" w:eastAsia="黑体"/>
          <w:b w:val="0"/>
          <w:bCs/>
          <w:color w:val="auto"/>
          <w:highlight w:val="none"/>
          <w:lang w:eastAsia="zh-CN"/>
        </w:rPr>
        <w:t>单位</w:t>
      </w:r>
      <w:r>
        <w:rPr>
          <w:rStyle w:val="28"/>
          <w:rFonts w:hint="eastAsia" w:ascii="黑体" w:hAnsi="黑体" w:eastAsia="黑体"/>
          <w:b w:val="0"/>
          <w:bCs/>
          <w:color w:val="auto"/>
          <w:highlight w:val="none"/>
        </w:rPr>
        <w:t>决算情况说明</w:t>
      </w:r>
      <w:bookmarkEnd w:id="16"/>
      <w:bookmarkEnd w:id="17"/>
    </w:p>
    <w:p>
      <w:pPr>
        <w:pStyle w:val="27"/>
        <w:numPr>
          <w:ilvl w:val="0"/>
          <w:numId w:val="3"/>
        </w:numPr>
        <w:spacing w:line="600" w:lineRule="exact"/>
        <w:ind w:firstLineChars="0"/>
        <w:outlineLvl w:val="1"/>
        <w:rPr>
          <w:rStyle w:val="29"/>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1912.76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768.37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67.14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政府性基金预算财政拨款收、</w:t>
      </w:r>
      <w:r>
        <w:rPr>
          <w:rFonts w:hint="eastAsia" w:ascii="仿宋" w:hAnsi="仿宋" w:eastAsia="仿宋"/>
          <w:color w:val="auto"/>
          <w:sz w:val="32"/>
          <w:szCs w:val="32"/>
          <w:highlight w:val="none"/>
          <w:lang w:val="en-US" w:eastAsia="zh-CN"/>
        </w:rPr>
        <w:t>支</w:t>
      </w:r>
      <w:r>
        <w:rPr>
          <w:rFonts w:hint="eastAsia" w:ascii="仿宋" w:hAnsi="仿宋" w:eastAsia="仿宋"/>
          <w:color w:val="auto"/>
          <w:sz w:val="32"/>
          <w:szCs w:val="32"/>
          <w:highlight w:val="none"/>
          <w:lang w:eastAsia="zh-CN"/>
        </w:rPr>
        <w:t>增加。</w:t>
      </w:r>
    </w:p>
    <w:p>
      <w:pPr>
        <w:pStyle w:val="2"/>
        <w:ind w:left="0" w:leftChars="0" w:firstLine="0" w:firstLineChars="0"/>
        <w:rPr>
          <w:rFonts w:hint="default"/>
          <w:lang w:val="en-US" w:eastAsia="zh-CN"/>
        </w:rPr>
      </w:pPr>
      <w:r>
        <w:rPr>
          <w:rFonts w:hint="eastAsia" w:ascii="仿宋" w:hAnsi="仿宋" w:eastAsia="仿宋"/>
          <w:color w:val="auto"/>
          <w:sz w:val="32"/>
          <w:szCs w:val="32"/>
          <w:highlight w:val="none"/>
          <w:lang w:val="en-US" w:eastAsia="zh-CN"/>
        </w:rPr>
        <w:t xml:space="preserve">    </w:t>
      </w:r>
      <w:r>
        <w:rPr>
          <w:rFonts w:hint="default"/>
          <w:lang w:val="en-US"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jc w:val="left"/>
        <w:rPr>
          <w:rFonts w:ascii="仿宋_GB2312" w:eastAsia="仿宋_GB2312"/>
          <w:color w:val="auto"/>
          <w:sz w:val="32"/>
          <w:szCs w:val="32"/>
          <w:highlight w:val="none"/>
        </w:rPr>
      </w:pPr>
    </w:p>
    <w:p>
      <w:pPr>
        <w:pStyle w:val="27"/>
        <w:numPr>
          <w:ilvl w:val="0"/>
          <w:numId w:val="3"/>
        </w:numPr>
        <w:spacing w:line="600" w:lineRule="exact"/>
        <w:ind w:firstLineChars="0"/>
        <w:outlineLvl w:val="1"/>
        <w:rPr>
          <w:rStyle w:val="29"/>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1912.76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1063.94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55.63</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848.78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44.37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3956050" cy="4048760"/>
            <wp:effectExtent l="4445" t="4445" r="20955" b="234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600" w:firstLineChars="5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7"/>
        <w:numPr>
          <w:ilvl w:val="0"/>
          <w:numId w:val="3"/>
        </w:numPr>
        <w:spacing w:line="600" w:lineRule="exact"/>
        <w:ind w:firstLineChars="0"/>
        <w:outlineLvl w:val="1"/>
        <w:rPr>
          <w:rStyle w:val="29"/>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1912.76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570.27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29.81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1342.49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70.19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p>
    <w:p>
      <w:pPr>
        <w:pStyle w:val="2"/>
        <w:rPr>
          <w:rFonts w:ascii="仿宋" w:hAnsi="仿宋" w:eastAsia="仿宋"/>
          <w:color w:val="auto"/>
          <w:sz w:val="32"/>
          <w:szCs w:val="32"/>
          <w:highlight w:val="none"/>
        </w:rPr>
      </w:pPr>
      <w:r>
        <w:rPr>
          <w:rFonts w:hint="eastAsia" w:ascii="黑体" w:hAnsi="黑体" w:eastAsia="黑体" w:cs="黑体"/>
          <w:color w:val="000000" w:themeColor="text1"/>
          <w:sz w:val="32"/>
          <w:szCs w:val="32"/>
          <w:highlight w:val="none"/>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318770</wp:posOffset>
            </wp:positionH>
            <wp:positionV relativeFrom="paragraph">
              <wp:posOffset>-4445</wp:posOffset>
            </wp:positionV>
            <wp:extent cx="4924425" cy="3719195"/>
            <wp:effectExtent l="4445" t="4445" r="5080" b="1016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9"/>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w:t>
      </w:r>
      <w:r>
        <w:rPr>
          <w:rFonts w:hint="eastAsia" w:ascii="仿宋" w:hAnsi="仿宋" w:eastAsia="仿宋"/>
          <w:color w:val="auto"/>
          <w:sz w:val="32"/>
          <w:szCs w:val="32"/>
          <w:highlight w:val="none"/>
          <w:lang w:val="en-US" w:eastAsia="zh-CN"/>
        </w:rPr>
        <w:t>收入</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val="en-US"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1912.76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w:t>
      </w:r>
      <w:r>
        <w:rPr>
          <w:rFonts w:hint="eastAsia" w:ascii="仿宋" w:hAnsi="仿宋" w:eastAsia="仿宋"/>
          <w:color w:val="auto"/>
          <w:sz w:val="32"/>
          <w:szCs w:val="32"/>
          <w:highlight w:val="none"/>
          <w:lang w:val="en-US" w:eastAsia="zh-CN"/>
        </w:rPr>
        <w:t>收入支出</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768.37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67.14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。主要变动原因是是</w:t>
      </w:r>
      <w:r>
        <w:rPr>
          <w:rFonts w:hint="eastAsia" w:ascii="仿宋" w:hAnsi="仿宋" w:eastAsia="仿宋"/>
          <w:color w:val="auto"/>
          <w:sz w:val="32"/>
          <w:szCs w:val="32"/>
          <w:highlight w:val="none"/>
          <w:lang w:eastAsia="zh-CN"/>
        </w:rPr>
        <w:t>政府性基金预算财政拨款</w:t>
      </w:r>
      <w:r>
        <w:rPr>
          <w:rFonts w:hint="eastAsia" w:ascii="仿宋" w:hAnsi="仿宋" w:eastAsia="仿宋"/>
          <w:color w:val="auto"/>
          <w:sz w:val="32"/>
          <w:szCs w:val="32"/>
          <w:highlight w:val="none"/>
          <w:lang w:val="en-US" w:eastAsia="zh-CN"/>
        </w:rPr>
        <w:t>收入支出</w:t>
      </w:r>
      <w:r>
        <w:rPr>
          <w:rFonts w:hint="eastAsia" w:ascii="仿宋" w:hAnsi="仿宋" w:eastAsia="仿宋"/>
          <w:color w:val="auto"/>
          <w:sz w:val="32"/>
          <w:szCs w:val="32"/>
          <w:highlight w:val="none"/>
          <w:lang w:eastAsia="zh-CN"/>
        </w:rPr>
        <w:t>增加。</w:t>
      </w:r>
    </w:p>
    <w:p>
      <w:pPr>
        <w:pStyle w:val="2"/>
        <w:jc w:val="both"/>
        <w:rPr>
          <w:rFonts w:ascii="仿宋" w:hAnsi="仿宋" w:eastAsia="仿宋"/>
          <w:b/>
          <w:color w:val="auto"/>
          <w:sz w:val="32"/>
          <w:szCs w:val="32"/>
          <w:highlight w:val="none"/>
        </w:rPr>
      </w:pPr>
      <w:r>
        <w:rPr>
          <w:rFonts w:hint="default"/>
          <w:lang w:val="en-US" w:eastAsia="zh-CN"/>
        </w:rPr>
        <w:drawing>
          <wp:inline distT="0" distB="0" distL="114300" distR="114300">
            <wp:extent cx="4718050" cy="3696970"/>
            <wp:effectExtent l="4445" t="4445" r="20955"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9"/>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pStyle w:val="2"/>
        <w:ind w:left="0" w:leftChars="0"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default" w:ascii="仿宋" w:hAnsi="仿宋" w:eastAsia="仿宋"/>
          <w:color w:val="auto"/>
          <w:sz w:val="32"/>
          <w:szCs w:val="32"/>
          <w:highlight w:val="none"/>
        </w:rPr>
        <w:t>1063.94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default" w:ascii="仿宋" w:hAnsi="仿宋" w:eastAsia="仿宋"/>
          <w:color w:val="auto"/>
          <w:sz w:val="32"/>
          <w:szCs w:val="32"/>
          <w:highlight w:val="none"/>
        </w:rPr>
        <w:t>减少80.45万元</w:t>
      </w:r>
      <w:r>
        <w:rPr>
          <w:rFonts w:hint="eastAsia" w:ascii="仿宋" w:hAnsi="仿宋" w:eastAsia="仿宋"/>
          <w:color w:val="auto"/>
          <w:sz w:val="32"/>
          <w:szCs w:val="32"/>
          <w:highlight w:val="none"/>
        </w:rPr>
        <w:t>，</w:t>
      </w:r>
      <w:r>
        <w:rPr>
          <w:rFonts w:hint="default" w:ascii="仿宋" w:hAnsi="仿宋" w:eastAsia="仿宋"/>
          <w:color w:val="auto"/>
          <w:sz w:val="32"/>
          <w:szCs w:val="32"/>
          <w:highlight w:val="none"/>
          <w:lang w:eastAsia="zh-CN"/>
        </w:rPr>
        <w:t>减少7.03%</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w:t>
      </w:r>
      <w:r>
        <w:rPr>
          <w:rFonts w:hint="eastAsia" w:ascii="仿宋" w:hAnsi="仿宋" w:eastAsia="仿宋"/>
          <w:color w:val="auto"/>
          <w:sz w:val="32"/>
          <w:szCs w:val="32"/>
          <w:highlight w:val="none"/>
          <w:lang w:val="en-US" w:eastAsia="zh-CN"/>
        </w:rPr>
        <w:t>2022年一般公共预算财政拨款支出减少，</w:t>
      </w:r>
      <w:r>
        <w:rPr>
          <w:rFonts w:hint="eastAsia" w:ascii="仿宋" w:hAnsi="仿宋" w:eastAsia="仿宋"/>
          <w:color w:val="auto"/>
          <w:sz w:val="32"/>
          <w:szCs w:val="32"/>
          <w:highlight w:val="none"/>
          <w:lang w:eastAsia="zh-CN"/>
        </w:rPr>
        <w:t>政府基金预算财政拨款</w:t>
      </w:r>
      <w:r>
        <w:rPr>
          <w:rFonts w:hint="eastAsia" w:ascii="仿宋" w:hAnsi="仿宋" w:eastAsia="仿宋"/>
          <w:color w:val="auto"/>
          <w:sz w:val="32"/>
          <w:szCs w:val="32"/>
          <w:highlight w:val="none"/>
          <w:lang w:val="en-US" w:eastAsia="zh-CN"/>
        </w:rPr>
        <w:t>支出增加。</w:t>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hint="default"/>
          <w:lang w:val="en-US" w:eastAsia="zh-CN"/>
        </w:rPr>
        <w:drawing>
          <wp:inline distT="0" distB="0" distL="114300" distR="114300">
            <wp:extent cx="5080000" cy="3791585"/>
            <wp:effectExtent l="4445" t="4445" r="2095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default" w:ascii="仿宋" w:hAnsi="仿宋" w:eastAsia="仿宋"/>
          <w:color w:val="auto"/>
          <w:sz w:val="32"/>
          <w:szCs w:val="32"/>
          <w:highlight w:val="none"/>
          <w:lang w:eastAsia="zh-CN"/>
        </w:rPr>
        <w:t>1063.94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b/>
          <w:bCs/>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514.93</w:t>
      </w:r>
      <w:r>
        <w:rPr>
          <w:rFonts w:hint="eastAsia" w:ascii="仿宋" w:hAnsi="仿宋" w:eastAsia="仿宋"/>
          <w:color w:val="000000" w:themeColor="text1"/>
          <w:sz w:val="32"/>
          <w:szCs w:val="32"/>
          <w14:textFill>
            <w14:solidFill>
              <w14:schemeClr w14:val="tx1"/>
            </w14:solidFill>
          </w14:textFill>
        </w:rPr>
        <w:t>万元，占</w:t>
      </w:r>
      <w:r>
        <w:rPr>
          <w:rFonts w:hint="default" w:ascii="仿宋" w:hAnsi="仿宋" w:eastAsia="仿宋"/>
          <w:color w:val="000000" w:themeColor="text1"/>
          <w:sz w:val="32"/>
          <w:szCs w:val="32"/>
          <w14:textFill>
            <w14:solidFill>
              <w14:schemeClr w14:val="tx1"/>
            </w14:solidFill>
          </w14:textFill>
        </w:rPr>
        <w:t>48.4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color w:val="000000" w:themeColor="text1"/>
          <w:sz w:val="32"/>
          <w:szCs w:val="32"/>
          <w:lang w:val="en-US" w:eastAsia="zh-CN"/>
          <w14:textFill>
            <w14:solidFill>
              <w14:schemeClr w14:val="tx1"/>
            </w14:solidFill>
          </w14:textFill>
        </w:rPr>
        <w:t>8万元，占0.</w:t>
      </w:r>
      <w:r>
        <w:rPr>
          <w:rFonts w:hint="default" w:ascii="仿宋" w:hAnsi="仿宋" w:eastAsia="仿宋"/>
          <w:color w:val="000000" w:themeColor="text1"/>
          <w:sz w:val="32"/>
          <w:szCs w:val="32"/>
          <w:lang w:eastAsia="zh-CN"/>
          <w14:textFill>
            <w14:solidFill>
              <w14:schemeClr w14:val="tx1"/>
            </w14:solidFill>
          </w14:textFill>
        </w:rPr>
        <w:t>75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社会保障和就业（类）支出</w:t>
      </w:r>
      <w:r>
        <w:rPr>
          <w:rFonts w:hint="eastAsia" w:ascii="仿宋" w:hAnsi="仿宋" w:eastAsia="仿宋"/>
          <w:color w:val="000000" w:themeColor="text1"/>
          <w:sz w:val="32"/>
          <w:szCs w:val="32"/>
          <w:lang w:val="en-US" w:eastAsia="zh-CN"/>
          <w14:textFill>
            <w14:solidFill>
              <w14:schemeClr w14:val="tx1"/>
            </w14:solidFill>
          </w14:textFill>
        </w:rPr>
        <w:t>49.42</w:t>
      </w:r>
      <w:r>
        <w:rPr>
          <w:rFonts w:hint="eastAsia" w:ascii="仿宋" w:hAnsi="仿宋" w:eastAsia="仿宋"/>
          <w:color w:val="000000" w:themeColor="text1"/>
          <w:sz w:val="32"/>
          <w:szCs w:val="32"/>
          <w14:textFill>
            <w14:solidFill>
              <w14:schemeClr w14:val="tx1"/>
            </w14:solidFill>
          </w14:textFill>
        </w:rPr>
        <w:t>万元，占</w:t>
      </w:r>
      <w:r>
        <w:rPr>
          <w:rFonts w:hint="default" w:ascii="仿宋" w:hAnsi="仿宋" w:eastAsia="仿宋"/>
          <w:color w:val="000000" w:themeColor="text1"/>
          <w:sz w:val="32"/>
          <w:szCs w:val="32"/>
          <w14:textFill>
            <w14:solidFill>
              <w14:schemeClr w14:val="tx1"/>
            </w14:solidFill>
          </w14:textFill>
        </w:rPr>
        <w:t>4.64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sz w:val="32"/>
          <w:szCs w:val="32"/>
        </w:rPr>
        <w:t>卫生</w:t>
      </w:r>
      <w:r>
        <w:rPr>
          <w:rFonts w:hint="eastAsia" w:ascii="仿宋_GB2312" w:hAnsi="仿宋_GB2312" w:eastAsia="仿宋_GB2312" w:cs="仿宋_GB2312"/>
          <w:b/>
          <w:bCs/>
          <w:color w:val="000000"/>
          <w:sz w:val="32"/>
          <w:szCs w:val="32"/>
          <w:lang w:eastAsia="zh-CN"/>
        </w:rPr>
        <w:t>健康</w:t>
      </w:r>
      <w:r>
        <w:rPr>
          <w:rFonts w:hint="eastAsia" w:ascii="仿宋_GB2312" w:hAnsi="仿宋_GB2312" w:eastAsia="仿宋_GB2312" w:cs="仿宋_GB2312"/>
          <w:b/>
          <w:bCs/>
          <w:color w:val="000000"/>
          <w:sz w:val="32"/>
          <w:szCs w:val="32"/>
        </w:rPr>
        <w:t>支出</w:t>
      </w:r>
      <w:r>
        <w:rPr>
          <w:rFonts w:hint="eastAsia" w:ascii="仿宋_GB2312" w:hAnsi="仿宋_GB2312" w:eastAsia="仿宋_GB2312" w:cs="仿宋_GB2312"/>
          <w:color w:val="000000"/>
          <w:sz w:val="32"/>
          <w:szCs w:val="32"/>
          <w:lang w:val="en-US" w:eastAsia="zh-CN"/>
        </w:rPr>
        <w:t>13.92</w:t>
      </w:r>
      <w:r>
        <w:rPr>
          <w:rFonts w:hint="eastAsia" w:ascii="仿宋_GB2312" w:hAnsi="仿宋_GB2312" w:eastAsia="仿宋_GB2312" w:cs="仿宋_GB2312"/>
          <w:color w:val="000000"/>
          <w:sz w:val="32"/>
          <w:szCs w:val="32"/>
        </w:rPr>
        <w:t>万元，占</w:t>
      </w:r>
      <w:r>
        <w:rPr>
          <w:rFonts w:hint="default" w:ascii="仿宋_GB2312" w:hAnsi="仿宋_GB2312" w:eastAsia="仿宋_GB2312" w:cs="仿宋_GB2312"/>
          <w:color w:val="000000"/>
          <w:sz w:val="32"/>
          <w:szCs w:val="32"/>
        </w:rPr>
        <w:t>1.31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lang w:eastAsia="zh-CN"/>
        </w:rPr>
        <w:t>城乡社区支出</w:t>
      </w:r>
      <w:r>
        <w:rPr>
          <w:rFonts w:hint="default" w:ascii="仿宋_GB2312" w:hAnsi="仿宋_GB2312" w:eastAsia="仿宋_GB2312" w:cs="仿宋_GB2312"/>
          <w:b/>
          <w:bCs/>
          <w:color w:val="000000"/>
          <w:sz w:val="32"/>
          <w:szCs w:val="32"/>
          <w:lang w:eastAsia="zh-CN"/>
        </w:rPr>
        <w:t>5</w:t>
      </w:r>
      <w:r>
        <w:rPr>
          <w:rFonts w:hint="eastAsia" w:ascii="仿宋_GB2312" w:hAnsi="仿宋_GB2312" w:eastAsia="仿宋_GB2312" w:cs="仿宋_GB2312"/>
          <w:color w:val="000000"/>
          <w:sz w:val="32"/>
          <w:szCs w:val="32"/>
          <w:lang w:eastAsia="zh-CN"/>
        </w:rPr>
        <w:t>万元，占</w:t>
      </w:r>
      <w:r>
        <w:rPr>
          <w:rFonts w:hint="default" w:ascii="仿宋_GB2312" w:hAnsi="仿宋_GB2312" w:eastAsia="仿宋_GB2312" w:cs="仿宋_GB2312"/>
          <w:color w:val="000000"/>
          <w:sz w:val="32"/>
          <w:szCs w:val="32"/>
          <w:lang w:eastAsia="zh-CN"/>
        </w:rPr>
        <w:t>0.47</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eastAsia="zh-CN"/>
        </w:rPr>
        <w:t>农林水支出</w:t>
      </w:r>
      <w:r>
        <w:rPr>
          <w:rFonts w:hint="eastAsia" w:ascii="仿宋_GB2312" w:hAnsi="仿宋_GB2312" w:eastAsia="仿宋_GB2312" w:cs="仿宋_GB2312"/>
          <w:color w:val="000000"/>
          <w:sz w:val="32"/>
          <w:szCs w:val="32"/>
          <w:lang w:val="en-US" w:eastAsia="zh-CN"/>
        </w:rPr>
        <w:t>428.97万元，占</w:t>
      </w:r>
      <w:r>
        <w:rPr>
          <w:rFonts w:hint="default" w:ascii="仿宋_GB2312" w:hAnsi="仿宋_GB2312" w:eastAsia="仿宋_GB2312" w:cs="仿宋_GB2312"/>
          <w:color w:val="000000"/>
          <w:sz w:val="32"/>
          <w:szCs w:val="32"/>
          <w:lang w:eastAsia="zh-CN"/>
        </w:rPr>
        <w:t>40.32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bCs/>
          <w:color w:val="000000"/>
          <w:sz w:val="32"/>
          <w:szCs w:val="32"/>
          <w:lang w:val="en-US" w:eastAsia="zh-CN"/>
        </w:rPr>
        <w:t>住房保障支出</w:t>
      </w:r>
      <w:r>
        <w:rPr>
          <w:rFonts w:hint="eastAsia" w:ascii="仿宋_GB2312" w:hAnsi="仿宋_GB2312" w:eastAsia="仿宋_GB2312" w:cs="仿宋_GB2312"/>
          <w:color w:val="000000"/>
          <w:sz w:val="32"/>
          <w:szCs w:val="32"/>
          <w:lang w:val="en-US" w:eastAsia="zh-CN"/>
        </w:rPr>
        <w:t>27.71万元，占</w:t>
      </w:r>
      <w:r>
        <w:rPr>
          <w:rFonts w:hint="default" w:ascii="仿宋_GB2312" w:hAnsi="仿宋_GB2312" w:eastAsia="仿宋_GB2312" w:cs="仿宋_GB2312"/>
          <w:color w:val="000000"/>
          <w:sz w:val="32"/>
          <w:szCs w:val="32"/>
          <w:lang w:eastAsia="zh-CN"/>
        </w:rPr>
        <w:t>2.61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bCs/>
          <w:color w:val="000000"/>
          <w:sz w:val="32"/>
          <w:szCs w:val="32"/>
          <w:lang w:val="en-US" w:eastAsia="zh-CN"/>
        </w:rPr>
        <w:t>灾害防治及应急管理支出</w:t>
      </w:r>
      <w:r>
        <w:rPr>
          <w:rFonts w:hint="eastAsia" w:ascii="仿宋_GB2312" w:hAnsi="仿宋_GB2312" w:eastAsia="仿宋_GB2312" w:cs="仿宋_GB2312"/>
          <w:color w:val="000000"/>
          <w:sz w:val="32"/>
          <w:szCs w:val="32"/>
          <w:lang w:val="en-US" w:eastAsia="zh-CN"/>
        </w:rPr>
        <w:t>16万元，占</w:t>
      </w:r>
      <w:r>
        <w:rPr>
          <w:rFonts w:hint="default" w:ascii="仿宋_GB2312" w:hAnsi="仿宋_GB2312" w:eastAsia="仿宋_GB2312" w:cs="仿宋_GB2312"/>
          <w:color w:val="000000"/>
          <w:sz w:val="32"/>
          <w:szCs w:val="32"/>
          <w:lang w:eastAsia="zh-CN"/>
        </w:rPr>
        <w:t>1.5</w:t>
      </w:r>
      <w:r>
        <w:rPr>
          <w:rFonts w:hint="eastAsia" w:ascii="仿宋_GB2312" w:hAnsi="仿宋_GB2312" w:eastAsia="仿宋_GB2312" w:cs="仿宋_GB2312"/>
          <w:color w:val="000000"/>
          <w:sz w:val="32"/>
          <w:szCs w:val="32"/>
          <w:lang w:val="en-US" w:eastAsia="zh-CN"/>
        </w:rPr>
        <w:t>%</w:t>
      </w:r>
      <w:r>
        <w:rPr>
          <w:rFonts w:hint="eastAsia" w:ascii="仿宋" w:hAnsi="仿宋" w:eastAsia="仿宋"/>
          <w:b/>
          <w:color w:val="auto"/>
          <w:sz w:val="32"/>
          <w:szCs w:val="32"/>
          <w:highlight w:val="none"/>
          <w:lang w:eastAsia="zh-CN"/>
        </w:rPr>
        <w:t>。</w:t>
      </w:r>
    </w:p>
    <w:p>
      <w:pPr>
        <w:spacing w:line="600" w:lineRule="exact"/>
        <w:ind w:firstLine="640" w:firstLineChars="200"/>
        <w:outlineLvl w:val="2"/>
        <w:rPr>
          <w:rFonts w:hint="eastAsia" w:ascii="仿宋" w:hAnsi="仿宋" w:eastAsia="仿宋"/>
          <w:b/>
          <w:color w:val="auto"/>
          <w:sz w:val="32"/>
          <w:szCs w:val="32"/>
          <w:highlight w:val="none"/>
        </w:rPr>
      </w:pPr>
      <w:bookmarkStart w:id="30" w:name="_Toc15377212"/>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-137160</wp:posOffset>
            </wp:positionH>
            <wp:positionV relativeFrom="paragraph">
              <wp:posOffset>1133475</wp:posOffset>
            </wp:positionV>
            <wp:extent cx="5944235" cy="4086225"/>
            <wp:effectExtent l="4445" t="4445" r="13970"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bookmarkEnd w:id="30"/>
    <w:p>
      <w:pPr>
        <w:spacing w:line="600" w:lineRule="exact"/>
        <w:jc w:val="left"/>
        <w:outlineLvl w:val="2"/>
        <w:rPr>
          <w:rFonts w:hint="eastAsia" w:ascii="仿宋" w:hAnsi="仿宋" w:eastAsia="仿宋"/>
          <w:b/>
          <w:color w:val="auto"/>
          <w:sz w:val="32"/>
          <w:szCs w:val="32"/>
          <w:highlight w:val="none"/>
        </w:rPr>
      </w:pPr>
      <w:bookmarkStart w:id="31" w:name="_Toc15378460"/>
      <w:bookmarkStart w:id="32" w:name="_Toc15377444"/>
      <w:bookmarkStart w:id="33" w:name="_Toc15377213"/>
    </w:p>
    <w:p>
      <w:pPr>
        <w:spacing w:line="600" w:lineRule="exact"/>
        <w:ind w:firstLine="640" w:firstLineChars="200"/>
        <w:rPr>
          <w:rFonts w:hint="default"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hint="eastAsia" w:ascii="仿宋" w:hAnsi="仿宋" w:eastAsia="仿宋"/>
          <w:b/>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pPr>
        <w:spacing w:line="600" w:lineRule="exact"/>
        <w:ind w:firstLine="964" w:firstLineChars="300"/>
        <w:jc w:val="left"/>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default" w:ascii="仿宋" w:hAnsi="仿宋" w:eastAsia="仿宋"/>
          <w:color w:val="auto"/>
          <w:sz w:val="32"/>
          <w:szCs w:val="32"/>
          <w:highlight w:val="none"/>
          <w:lang w:eastAsia="zh-CN"/>
        </w:rPr>
        <w:t>1063.94万元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1.</w:t>
      </w: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政府办公厅及相关机构事务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03</w:t>
      </w:r>
      <w:r>
        <w:rPr>
          <w:rStyle w:val="18"/>
          <w:rFonts w:hint="eastAsia" w:ascii="仿宋" w:hAnsi="仿宋" w:eastAsia="仿宋"/>
          <w:bCs/>
          <w:color w:val="000000"/>
          <w:sz w:val="32"/>
          <w:szCs w:val="32"/>
          <w:lang w:eastAsia="zh-CN"/>
        </w:rPr>
        <w:t>行政运行</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01</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291万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default" w:ascii="仿宋" w:hAnsi="仿宋" w:eastAsia="仿宋"/>
          <w:bCs/>
          <w:color w:val="000000"/>
          <w:sz w:val="32"/>
          <w:szCs w:val="32"/>
        </w:rPr>
        <w:t>2.</w:t>
      </w: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政府办公厅及相关机构事务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03</w:t>
      </w:r>
      <w:r>
        <w:rPr>
          <w:rStyle w:val="18"/>
          <w:rFonts w:hint="eastAsia" w:ascii="仿宋" w:hAnsi="仿宋" w:eastAsia="仿宋"/>
          <w:bCs/>
          <w:color w:val="000000"/>
          <w:sz w:val="32"/>
          <w:szCs w:val="32"/>
          <w:lang w:eastAsia="zh-CN"/>
        </w:rPr>
        <w:t>一般行政管理事务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02</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6.46万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default" w:ascii="仿宋" w:hAnsi="仿宋" w:eastAsia="仿宋"/>
          <w:bCs/>
          <w:color w:val="000000"/>
          <w:sz w:val="32"/>
          <w:szCs w:val="32"/>
        </w:rPr>
        <w:t>3.</w:t>
      </w: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政府办公厅及相关机构事务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03</w:t>
      </w:r>
      <w:r>
        <w:rPr>
          <w:rStyle w:val="18"/>
          <w:rFonts w:hint="eastAsia" w:ascii="仿宋" w:hAnsi="仿宋" w:eastAsia="仿宋"/>
          <w:bCs/>
          <w:color w:val="000000"/>
          <w:sz w:val="32"/>
          <w:szCs w:val="32"/>
          <w:lang w:eastAsia="zh-CN"/>
        </w:rPr>
        <w:t>机关服务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03</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60万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default" w:ascii="仿宋" w:hAnsi="仿宋" w:eastAsia="仿宋"/>
          <w:bCs/>
          <w:color w:val="000000"/>
          <w:sz w:val="32"/>
          <w:szCs w:val="32"/>
        </w:rPr>
        <w:t>4.</w:t>
      </w: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201纪检监察事务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11</w:t>
      </w:r>
      <w:r>
        <w:rPr>
          <w:rStyle w:val="18"/>
          <w:rFonts w:hint="eastAsia" w:ascii="仿宋" w:hAnsi="仿宋" w:eastAsia="仿宋"/>
          <w:bCs/>
          <w:color w:val="000000"/>
          <w:sz w:val="32"/>
          <w:szCs w:val="32"/>
          <w:lang w:eastAsia="zh-CN"/>
        </w:rPr>
        <w:t>一般行政管理事务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02</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Cs/>
          <w:color w:val="000000"/>
          <w:sz w:val="32"/>
          <w:szCs w:val="32"/>
        </w:rPr>
      </w:pPr>
      <w:r>
        <w:rPr>
          <w:rStyle w:val="18"/>
          <w:rFonts w:hint="default" w:ascii="仿宋" w:hAnsi="仿宋" w:eastAsia="仿宋"/>
          <w:bCs/>
          <w:color w:val="000000"/>
          <w:sz w:val="32"/>
          <w:szCs w:val="32"/>
        </w:rPr>
        <w:t>5.</w:t>
      </w: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201商贸事务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13招商引资</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08</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67万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default" w:ascii="仿宋" w:hAnsi="仿宋" w:eastAsia="仿宋"/>
          <w:bCs/>
          <w:color w:val="000000"/>
          <w:sz w:val="32"/>
          <w:szCs w:val="32"/>
        </w:rPr>
        <w:t>6.</w:t>
      </w: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组织事务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32</w:t>
      </w:r>
      <w:r>
        <w:rPr>
          <w:rStyle w:val="18"/>
          <w:rFonts w:hint="eastAsia" w:ascii="仿宋" w:hAnsi="仿宋" w:eastAsia="仿宋"/>
          <w:bCs/>
          <w:color w:val="000000"/>
          <w:sz w:val="32"/>
          <w:szCs w:val="32"/>
          <w:lang w:eastAsia="zh-CN"/>
        </w:rPr>
        <w:t>一般行政管理事务</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02</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5万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default" w:ascii="仿宋" w:hAnsi="仿宋" w:eastAsia="仿宋"/>
          <w:bCs/>
          <w:color w:val="000000"/>
          <w:sz w:val="32"/>
          <w:szCs w:val="32"/>
        </w:rPr>
        <w:t>7.</w:t>
      </w: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类</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201</w:t>
      </w:r>
      <w:r>
        <w:rPr>
          <w:rStyle w:val="18"/>
          <w:rFonts w:hint="eastAsia" w:ascii="仿宋" w:hAnsi="仿宋" w:eastAsia="仿宋"/>
          <w:bCs/>
          <w:color w:val="000000"/>
          <w:sz w:val="32"/>
          <w:szCs w:val="32"/>
          <w:lang w:eastAsia="zh-CN"/>
        </w:rPr>
        <w:t>其他一般公共服务支出</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款</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99</w:t>
      </w:r>
      <w:r>
        <w:rPr>
          <w:rStyle w:val="18"/>
          <w:rFonts w:hint="eastAsia" w:ascii="仿宋" w:hAnsi="仿宋" w:eastAsia="仿宋"/>
          <w:bCs/>
          <w:color w:val="000000"/>
          <w:sz w:val="32"/>
          <w:szCs w:val="32"/>
          <w:lang w:eastAsia="zh-CN"/>
        </w:rPr>
        <w:t>其他一般公共服务支出</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eastAsia="zh-CN"/>
        </w:rPr>
        <w:t>项</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99</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83.47万</w:t>
      </w:r>
      <w:r>
        <w:rPr>
          <w:rStyle w:val="18"/>
          <w:rFonts w:hint="eastAsia" w:ascii="仿宋" w:hAnsi="仿宋" w:eastAsia="仿宋"/>
          <w:b w:val="0"/>
          <w:bCs/>
          <w:color w:val="000000"/>
          <w:sz w:val="32"/>
          <w:szCs w:val="32"/>
        </w:rPr>
        <w:t>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Style w:val="18"/>
          <w:rFonts w:hint="eastAsia" w:ascii="仿宋" w:hAnsi="仿宋" w:eastAsia="仿宋"/>
          <w:b w:val="0"/>
          <w:bCs/>
          <w:color w:val="000000"/>
          <w:sz w:val="32"/>
          <w:szCs w:val="32"/>
        </w:rPr>
      </w:pPr>
      <w:r>
        <w:rPr>
          <w:rStyle w:val="18"/>
          <w:rFonts w:hint="default" w:ascii="仿宋" w:hAnsi="仿宋" w:eastAsia="仿宋"/>
          <w:bCs/>
          <w:color w:val="000000"/>
          <w:sz w:val="32"/>
          <w:szCs w:val="32"/>
          <w:lang w:eastAsia="zh-CN"/>
        </w:rPr>
        <w:t>8</w:t>
      </w:r>
      <w:r>
        <w:rPr>
          <w:rStyle w:val="18"/>
          <w:rFonts w:hint="eastAsia" w:ascii="仿宋" w:hAnsi="仿宋" w:eastAsia="仿宋"/>
          <w:bCs/>
          <w:color w:val="000000"/>
          <w:sz w:val="32"/>
          <w:szCs w:val="32"/>
          <w:lang w:val="en-US" w:eastAsia="zh-CN"/>
        </w:rPr>
        <w:t>.</w:t>
      </w:r>
      <w:r>
        <w:rPr>
          <w:rStyle w:val="18"/>
          <w:rFonts w:hint="eastAsia" w:ascii="仿宋" w:hAnsi="仿宋" w:eastAsia="仿宋"/>
          <w:bCs/>
          <w:color w:val="000000"/>
          <w:sz w:val="32"/>
          <w:szCs w:val="32"/>
          <w:lang w:eastAsia="zh-CN"/>
        </w:rPr>
        <w:t>公共安全支出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204</w:t>
      </w:r>
      <w:r>
        <w:rPr>
          <w:rStyle w:val="18"/>
          <w:rFonts w:hint="eastAsia" w:ascii="仿宋" w:hAnsi="仿宋" w:eastAsia="仿宋"/>
          <w:bCs/>
          <w:color w:val="000000"/>
          <w:sz w:val="32"/>
          <w:szCs w:val="32"/>
          <w:lang w:eastAsia="zh-CN"/>
        </w:rPr>
        <w:t>国家安全</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03</w:t>
      </w:r>
      <w:r>
        <w:rPr>
          <w:rStyle w:val="18"/>
          <w:rFonts w:hint="eastAsia" w:ascii="仿宋" w:hAnsi="仿宋" w:eastAsia="仿宋"/>
          <w:bCs/>
          <w:color w:val="000000"/>
          <w:sz w:val="32"/>
          <w:szCs w:val="32"/>
          <w:lang w:eastAsia="zh-CN"/>
        </w:rPr>
        <w:t>其他国家安全支出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99</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8</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default" w:ascii="仿宋" w:hAnsi="仿宋" w:eastAsia="仿宋"/>
          <w:bCs/>
          <w:color w:val="000000"/>
          <w:sz w:val="32"/>
          <w:szCs w:val="32"/>
          <w:lang w:eastAsia="zh-CN"/>
        </w:rPr>
        <w:t>9</w:t>
      </w:r>
      <w:r>
        <w:rPr>
          <w:rStyle w:val="18"/>
          <w:rFonts w:hint="eastAsia" w:ascii="仿宋" w:hAnsi="仿宋" w:eastAsia="仿宋"/>
          <w:bCs/>
          <w:color w:val="000000"/>
          <w:sz w:val="32"/>
          <w:szCs w:val="32"/>
          <w:lang w:val="en-US" w:eastAsia="zh-CN"/>
        </w:rPr>
        <w:t>.</w:t>
      </w:r>
      <w:r>
        <w:rPr>
          <w:rStyle w:val="18"/>
          <w:rFonts w:hint="eastAsia" w:ascii="仿宋" w:hAnsi="仿宋" w:eastAsia="仿宋"/>
          <w:bCs/>
          <w:color w:val="000000"/>
          <w:sz w:val="32"/>
          <w:szCs w:val="32"/>
        </w:rPr>
        <w:t>社会保障和就业（类）</w:t>
      </w:r>
      <w:r>
        <w:rPr>
          <w:rStyle w:val="18"/>
          <w:rFonts w:hint="eastAsia" w:ascii="仿宋" w:hAnsi="仿宋" w:eastAsia="仿宋"/>
          <w:bCs/>
          <w:color w:val="000000"/>
          <w:sz w:val="32"/>
          <w:szCs w:val="32"/>
          <w:lang w:val="en-US" w:eastAsia="zh-CN"/>
        </w:rPr>
        <w:t>208</w:t>
      </w:r>
      <w:r>
        <w:rPr>
          <w:rStyle w:val="18"/>
          <w:rFonts w:hint="eastAsia" w:ascii="仿宋" w:hAnsi="仿宋" w:eastAsia="仿宋"/>
          <w:bCs/>
          <w:color w:val="000000"/>
          <w:sz w:val="32"/>
          <w:szCs w:val="32"/>
          <w:lang w:eastAsia="zh-CN"/>
        </w:rPr>
        <w:t>行政事业单位养老支出</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05行政单位离退休</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01</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12.6</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default" w:ascii="仿宋" w:hAnsi="仿宋" w:eastAsia="仿宋"/>
          <w:bCs/>
          <w:color w:val="000000"/>
          <w:sz w:val="32"/>
          <w:szCs w:val="32"/>
        </w:rPr>
        <w:t>10.</w:t>
      </w:r>
      <w:r>
        <w:rPr>
          <w:rStyle w:val="18"/>
          <w:rFonts w:hint="eastAsia" w:ascii="仿宋" w:hAnsi="仿宋" w:eastAsia="仿宋"/>
          <w:bCs/>
          <w:color w:val="000000"/>
          <w:sz w:val="32"/>
          <w:szCs w:val="32"/>
        </w:rPr>
        <w:t>社会保障和就业（类）</w:t>
      </w:r>
      <w:r>
        <w:rPr>
          <w:rStyle w:val="18"/>
          <w:rFonts w:hint="eastAsia" w:ascii="仿宋" w:hAnsi="仿宋" w:eastAsia="仿宋"/>
          <w:bCs/>
          <w:color w:val="000000"/>
          <w:sz w:val="32"/>
          <w:szCs w:val="32"/>
          <w:lang w:val="en-US" w:eastAsia="zh-CN"/>
        </w:rPr>
        <w:t>208</w:t>
      </w:r>
      <w:r>
        <w:rPr>
          <w:rStyle w:val="18"/>
          <w:rFonts w:hint="eastAsia" w:ascii="仿宋" w:hAnsi="仿宋" w:eastAsia="仿宋"/>
          <w:bCs/>
          <w:color w:val="000000"/>
          <w:sz w:val="32"/>
          <w:szCs w:val="32"/>
          <w:lang w:eastAsia="zh-CN"/>
        </w:rPr>
        <w:t>行政事业单位养老支出</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05</w:t>
      </w:r>
      <w:r>
        <w:rPr>
          <w:rStyle w:val="18"/>
          <w:rFonts w:hint="eastAsia" w:ascii="仿宋" w:hAnsi="仿宋" w:eastAsia="仿宋"/>
          <w:bCs/>
          <w:color w:val="000000"/>
          <w:sz w:val="32"/>
          <w:szCs w:val="32"/>
          <w:lang w:eastAsia="zh-CN"/>
        </w:rPr>
        <w:t>机关事业单位基本养老保险缴费支出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05</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27.8</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8"/>
          <w:rFonts w:hint="default" w:ascii="仿宋" w:hAnsi="仿宋" w:eastAsia="仿宋"/>
          <w:bCs/>
          <w:color w:val="000000"/>
          <w:sz w:val="32"/>
          <w:szCs w:val="32"/>
        </w:rPr>
        <w:t>11.</w:t>
      </w:r>
      <w:r>
        <w:rPr>
          <w:rStyle w:val="18"/>
          <w:rFonts w:hint="eastAsia" w:ascii="仿宋" w:hAnsi="仿宋" w:eastAsia="仿宋"/>
          <w:bCs/>
          <w:color w:val="000000"/>
          <w:sz w:val="32"/>
          <w:szCs w:val="32"/>
        </w:rPr>
        <w:t>社会保障和就业（类）</w:t>
      </w:r>
      <w:r>
        <w:rPr>
          <w:rStyle w:val="18"/>
          <w:rFonts w:hint="eastAsia" w:ascii="仿宋" w:hAnsi="仿宋" w:eastAsia="仿宋"/>
          <w:bCs/>
          <w:color w:val="000000"/>
          <w:sz w:val="32"/>
          <w:szCs w:val="32"/>
          <w:lang w:val="en-US" w:eastAsia="zh-CN"/>
        </w:rPr>
        <w:t>208</w:t>
      </w:r>
      <w:r>
        <w:rPr>
          <w:rStyle w:val="18"/>
          <w:rFonts w:hint="eastAsia" w:ascii="仿宋" w:hAnsi="仿宋" w:eastAsia="仿宋"/>
          <w:bCs/>
          <w:color w:val="000000"/>
          <w:sz w:val="32"/>
          <w:szCs w:val="32"/>
          <w:lang w:eastAsia="zh-CN"/>
        </w:rPr>
        <w:t>行政事业单位养老支出</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05</w:t>
      </w:r>
      <w:r>
        <w:rPr>
          <w:rStyle w:val="18"/>
          <w:rFonts w:hint="eastAsia" w:ascii="仿宋" w:hAnsi="仿宋" w:eastAsia="仿宋"/>
          <w:bCs/>
          <w:color w:val="000000"/>
          <w:sz w:val="32"/>
          <w:szCs w:val="32"/>
          <w:lang w:eastAsia="zh-CN"/>
        </w:rPr>
        <w:t>机关事业单位职业年金缴费支出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06</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9.02</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Style w:val="18"/>
          <w:rFonts w:hint="eastAsia" w:ascii="仿宋" w:hAnsi="仿宋" w:eastAsia="仿宋"/>
          <w:b w:val="0"/>
          <w:bCs/>
          <w:color w:val="000000"/>
          <w:sz w:val="32"/>
          <w:szCs w:val="32"/>
        </w:rPr>
      </w:pPr>
      <w:r>
        <w:rPr>
          <w:rStyle w:val="18"/>
          <w:rFonts w:hint="default" w:ascii="仿宋" w:hAnsi="仿宋" w:eastAsia="仿宋"/>
          <w:bCs/>
          <w:color w:val="000000"/>
          <w:sz w:val="32"/>
          <w:szCs w:val="32"/>
          <w:lang w:eastAsia="zh-CN"/>
        </w:rPr>
        <w:t>12</w:t>
      </w:r>
      <w:r>
        <w:rPr>
          <w:rStyle w:val="18"/>
          <w:rFonts w:hint="eastAsia" w:ascii="仿宋" w:hAnsi="仿宋" w:eastAsia="仿宋"/>
          <w:bCs/>
          <w:color w:val="000000"/>
          <w:sz w:val="32"/>
          <w:szCs w:val="32"/>
          <w:lang w:val="en-US" w:eastAsia="zh-CN"/>
        </w:rPr>
        <w:t>.</w:t>
      </w:r>
      <w:r>
        <w:rPr>
          <w:rStyle w:val="18"/>
          <w:rFonts w:hint="eastAsia" w:ascii="仿宋" w:hAnsi="仿宋" w:eastAsia="仿宋"/>
          <w:bCs/>
          <w:color w:val="000000"/>
          <w:sz w:val="32"/>
          <w:szCs w:val="32"/>
        </w:rPr>
        <w:t>卫生</w:t>
      </w:r>
      <w:r>
        <w:rPr>
          <w:rStyle w:val="18"/>
          <w:rFonts w:hint="eastAsia" w:ascii="仿宋" w:hAnsi="仿宋" w:eastAsia="仿宋"/>
          <w:bCs/>
          <w:color w:val="000000"/>
          <w:sz w:val="32"/>
          <w:szCs w:val="32"/>
          <w:lang w:eastAsia="zh-CN"/>
        </w:rPr>
        <w:t>健康支出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210行政事业单位医疗</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11</w:t>
      </w:r>
      <w:r>
        <w:rPr>
          <w:rStyle w:val="18"/>
          <w:rFonts w:hint="eastAsia" w:ascii="仿宋" w:hAnsi="仿宋" w:eastAsia="仿宋"/>
          <w:bCs/>
          <w:color w:val="000000"/>
          <w:sz w:val="32"/>
          <w:szCs w:val="32"/>
          <w:lang w:eastAsia="zh-CN"/>
        </w:rPr>
        <w:t>行政事业单位医疗</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01</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13.92</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default" w:ascii="仿宋" w:hAnsi="仿宋" w:eastAsia="仿宋"/>
          <w:bCs/>
          <w:color w:val="000000"/>
          <w:sz w:val="32"/>
          <w:szCs w:val="32"/>
          <w:lang w:eastAsia="zh-CN"/>
        </w:rPr>
        <w:t>13</w:t>
      </w:r>
      <w:r>
        <w:rPr>
          <w:rStyle w:val="18"/>
          <w:rFonts w:hint="eastAsia" w:ascii="仿宋" w:hAnsi="仿宋" w:eastAsia="仿宋"/>
          <w:bCs/>
          <w:color w:val="000000"/>
          <w:sz w:val="32"/>
          <w:szCs w:val="32"/>
          <w:lang w:val="en-US" w:eastAsia="zh-CN"/>
        </w:rPr>
        <w:t>.</w:t>
      </w:r>
      <w:r>
        <w:rPr>
          <w:rStyle w:val="18"/>
          <w:rFonts w:hint="eastAsia" w:ascii="仿宋" w:hAnsi="仿宋" w:eastAsia="仿宋"/>
          <w:bCs/>
          <w:color w:val="000000"/>
          <w:sz w:val="32"/>
          <w:szCs w:val="32"/>
          <w:lang w:eastAsia="zh-CN"/>
        </w:rPr>
        <w:t>城乡社区支出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212城乡社区环境卫生</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05城乡社区环境卫生</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01</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5</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14"/>
        <w:ind w:left="0" w:leftChars="0" w:firstLine="643" w:firstLineChars="200"/>
        <w:rPr>
          <w:rStyle w:val="18"/>
          <w:rFonts w:hint="eastAsia" w:ascii="仿宋" w:hAnsi="仿宋" w:eastAsia="仿宋"/>
          <w:b w:val="0"/>
          <w:bCs/>
          <w:color w:val="000000"/>
          <w:sz w:val="32"/>
          <w:szCs w:val="32"/>
        </w:rPr>
      </w:pPr>
      <w:r>
        <w:rPr>
          <w:rStyle w:val="18"/>
          <w:rFonts w:hint="default" w:ascii="仿宋" w:hAnsi="仿宋" w:eastAsia="仿宋"/>
          <w:bCs/>
          <w:color w:val="000000"/>
          <w:sz w:val="32"/>
          <w:szCs w:val="32"/>
          <w:lang w:eastAsia="zh-CN"/>
        </w:rPr>
        <w:t>14</w:t>
      </w:r>
      <w:r>
        <w:rPr>
          <w:rStyle w:val="18"/>
          <w:rFonts w:hint="eastAsia" w:ascii="仿宋" w:hAnsi="仿宋" w:eastAsia="仿宋"/>
          <w:bCs/>
          <w:color w:val="000000"/>
          <w:sz w:val="32"/>
          <w:szCs w:val="32"/>
          <w:lang w:val="en-US" w:eastAsia="zh-CN"/>
        </w:rPr>
        <w:t>.</w:t>
      </w:r>
      <w:r>
        <w:rPr>
          <w:rStyle w:val="18"/>
          <w:rFonts w:hint="eastAsia" w:ascii="仿宋" w:hAnsi="仿宋" w:eastAsia="仿宋"/>
          <w:bCs/>
          <w:color w:val="000000"/>
          <w:sz w:val="32"/>
          <w:szCs w:val="32"/>
          <w:lang w:eastAsia="zh-CN"/>
        </w:rPr>
        <w:t>农林水支出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213农业农村</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01病虫害防治</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08</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pStyle w:val="14"/>
        <w:ind w:left="0" w:leftChars="0" w:firstLine="643" w:firstLineChars="200"/>
        <w:rPr>
          <w:rStyle w:val="18"/>
          <w:rFonts w:hint="eastAsia" w:ascii="仿宋" w:hAnsi="仿宋" w:eastAsia="仿宋" w:cstheme="minorBidi"/>
          <w:b w:val="0"/>
          <w:bCs/>
          <w:color w:val="000000"/>
          <w:sz w:val="32"/>
          <w:szCs w:val="32"/>
        </w:rPr>
      </w:pPr>
      <w:r>
        <w:rPr>
          <w:rStyle w:val="18"/>
          <w:rFonts w:hint="default" w:ascii="仿宋" w:hAnsi="仿宋" w:eastAsia="仿宋"/>
          <w:bCs/>
          <w:color w:val="000000"/>
          <w:sz w:val="32"/>
          <w:szCs w:val="32"/>
          <w:lang w:eastAsia="zh-CN"/>
        </w:rPr>
        <w:t>15.</w:t>
      </w:r>
      <w:r>
        <w:rPr>
          <w:rStyle w:val="18"/>
          <w:rFonts w:hint="eastAsia" w:ascii="仿宋" w:hAnsi="仿宋" w:eastAsia="仿宋"/>
          <w:bCs/>
          <w:color w:val="000000"/>
          <w:sz w:val="32"/>
          <w:szCs w:val="32"/>
          <w:lang w:eastAsia="zh-CN"/>
        </w:rPr>
        <w:t>农林水支出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213农业农村</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01</w:t>
      </w:r>
      <w:r>
        <w:rPr>
          <w:rStyle w:val="18"/>
          <w:rFonts w:hint="default" w:ascii="仿宋" w:hAnsi="仿宋" w:eastAsia="仿宋"/>
          <w:b w:val="0"/>
          <w:bCs/>
          <w:color w:val="000000"/>
          <w:sz w:val="32"/>
          <w:szCs w:val="32"/>
        </w:rPr>
        <w:t>其他农业农村支出</w:t>
      </w:r>
      <w:r>
        <w:rPr>
          <w:rStyle w:val="18"/>
          <w:rFonts w:hint="eastAsia" w:ascii="仿宋" w:hAnsi="仿宋" w:eastAsia="仿宋"/>
          <w:bCs/>
          <w:color w:val="000000"/>
          <w:sz w:val="32"/>
          <w:szCs w:val="32"/>
        </w:rPr>
        <w:t>（项）</w:t>
      </w:r>
      <w:r>
        <w:rPr>
          <w:rStyle w:val="18"/>
          <w:rFonts w:hint="default" w:ascii="仿宋" w:hAnsi="仿宋" w:eastAsia="仿宋"/>
          <w:b w:val="0"/>
          <w:bCs/>
          <w:color w:val="000000"/>
          <w:sz w:val="32"/>
          <w:szCs w:val="32"/>
        </w:rPr>
        <w:t>99</w:t>
      </w:r>
      <w:r>
        <w:rPr>
          <w:rStyle w:val="18"/>
          <w:rFonts w:hint="default" w:ascii="仿宋" w:hAnsi="仿宋" w:eastAsia="仿宋" w:cstheme="minorBidi"/>
          <w:b w:val="0"/>
          <w:bCs/>
          <w:color w:val="000000"/>
          <w:sz w:val="32"/>
          <w:szCs w:val="32"/>
        </w:rPr>
        <w:t>：</w:t>
      </w:r>
      <w:r>
        <w:rPr>
          <w:rStyle w:val="18"/>
          <w:rFonts w:hint="eastAsia" w:ascii="仿宋" w:hAnsi="仿宋" w:eastAsia="仿宋" w:cstheme="minorBidi"/>
          <w:b w:val="0"/>
          <w:bCs/>
          <w:color w:val="000000"/>
          <w:sz w:val="32"/>
          <w:szCs w:val="32"/>
        </w:rPr>
        <w:t>支出决算为</w:t>
      </w:r>
      <w:r>
        <w:rPr>
          <w:rStyle w:val="18"/>
          <w:rFonts w:hint="default" w:ascii="仿宋" w:hAnsi="仿宋" w:eastAsia="仿宋" w:cstheme="minorBidi"/>
          <w:b w:val="0"/>
          <w:bCs/>
          <w:color w:val="000000"/>
          <w:sz w:val="32"/>
          <w:szCs w:val="32"/>
        </w:rPr>
        <w:t>164.3万元，</w:t>
      </w:r>
      <w:r>
        <w:rPr>
          <w:rStyle w:val="18"/>
          <w:rFonts w:hint="eastAsia" w:ascii="仿宋" w:hAnsi="仿宋" w:eastAsia="仿宋" w:cstheme="minorBidi"/>
          <w:b w:val="0"/>
          <w:bCs/>
          <w:color w:val="000000"/>
          <w:sz w:val="32"/>
          <w:szCs w:val="32"/>
        </w:rPr>
        <w:t>完成预算</w:t>
      </w:r>
      <w:r>
        <w:rPr>
          <w:rStyle w:val="18"/>
          <w:rFonts w:hint="eastAsia" w:ascii="仿宋" w:hAnsi="仿宋" w:eastAsia="仿宋" w:cstheme="minorBidi"/>
          <w:b w:val="0"/>
          <w:bCs/>
          <w:color w:val="000000"/>
          <w:sz w:val="32"/>
          <w:szCs w:val="32"/>
          <w:lang w:val="en-US" w:eastAsia="zh-CN"/>
        </w:rPr>
        <w:t>100</w:t>
      </w:r>
      <w:r>
        <w:rPr>
          <w:rStyle w:val="18"/>
          <w:rFonts w:hint="default" w:ascii="仿宋" w:hAnsi="仿宋" w:eastAsia="仿宋" w:cstheme="minorBidi"/>
          <w:b w:val="0"/>
          <w:bCs/>
          <w:color w:val="000000"/>
          <w:sz w:val="32"/>
          <w:szCs w:val="32"/>
        </w:rPr>
        <w:t>%</w:t>
      </w:r>
      <w:r>
        <w:rPr>
          <w:rStyle w:val="18"/>
          <w:rFonts w:hint="eastAsia" w:ascii="仿宋" w:hAnsi="仿宋" w:eastAsia="仿宋" w:cstheme="minorBidi"/>
          <w:b w:val="0"/>
          <w:bCs/>
          <w:color w:val="000000"/>
          <w:sz w:val="32"/>
          <w:szCs w:val="32"/>
        </w:rPr>
        <w:t>，决算数等于预算数。</w:t>
      </w:r>
    </w:p>
    <w:p>
      <w:pPr>
        <w:ind w:firstLine="643" w:firstLineChars="200"/>
        <w:rPr>
          <w:rStyle w:val="18"/>
          <w:rFonts w:hint="eastAsia" w:ascii="仿宋" w:hAnsi="仿宋" w:eastAsia="仿宋"/>
          <w:b w:val="0"/>
          <w:bCs/>
          <w:color w:val="000000"/>
          <w:sz w:val="32"/>
          <w:szCs w:val="32"/>
        </w:rPr>
      </w:pPr>
      <w:r>
        <w:rPr>
          <w:rStyle w:val="18"/>
          <w:rFonts w:hint="default" w:ascii="仿宋" w:hAnsi="仿宋" w:eastAsia="仿宋"/>
          <w:bCs/>
          <w:color w:val="000000"/>
          <w:sz w:val="32"/>
          <w:szCs w:val="32"/>
          <w:lang w:eastAsia="zh-CN"/>
        </w:rPr>
        <w:t>16.</w:t>
      </w:r>
      <w:r>
        <w:rPr>
          <w:rStyle w:val="18"/>
          <w:rFonts w:hint="eastAsia" w:ascii="仿宋" w:hAnsi="仿宋" w:eastAsia="仿宋"/>
          <w:bCs/>
          <w:color w:val="000000"/>
          <w:sz w:val="32"/>
          <w:szCs w:val="32"/>
          <w:lang w:eastAsia="zh-CN"/>
        </w:rPr>
        <w:t>农林水支出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213水利</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03防汛</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14</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default" w:ascii="仿宋" w:hAnsi="仿宋" w:eastAsia="仿宋"/>
          <w:bCs/>
          <w:color w:val="000000"/>
          <w:sz w:val="32"/>
          <w:szCs w:val="32"/>
          <w:lang w:eastAsia="zh-CN"/>
        </w:rPr>
        <w:t>17.</w:t>
      </w:r>
      <w:r>
        <w:rPr>
          <w:rStyle w:val="18"/>
          <w:rFonts w:hint="eastAsia" w:ascii="仿宋" w:hAnsi="仿宋" w:eastAsia="仿宋"/>
          <w:bCs/>
          <w:color w:val="000000"/>
          <w:sz w:val="32"/>
          <w:szCs w:val="32"/>
          <w:lang w:eastAsia="zh-CN"/>
        </w:rPr>
        <w:t>农林水支出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213农村综合改革</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07对村民委员会和党支部的补助</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05</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262.67</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numPr>
          <w:ilvl w:val="0"/>
          <w:numId w:val="0"/>
        </w:numPr>
        <w:spacing w:line="600" w:lineRule="exact"/>
        <w:ind w:firstLine="643" w:firstLineChars="200"/>
        <w:rPr>
          <w:rStyle w:val="18"/>
          <w:rFonts w:hint="eastAsia" w:ascii="仿宋" w:hAnsi="仿宋" w:eastAsia="仿宋"/>
          <w:b w:val="0"/>
          <w:bCs/>
          <w:color w:val="000000"/>
          <w:sz w:val="32"/>
          <w:szCs w:val="32"/>
        </w:rPr>
      </w:pPr>
      <w:r>
        <w:rPr>
          <w:rStyle w:val="18"/>
          <w:rFonts w:hint="default" w:ascii="仿宋" w:hAnsi="仿宋" w:eastAsia="仿宋"/>
          <w:bCs/>
          <w:color w:val="000000"/>
          <w:sz w:val="32"/>
          <w:szCs w:val="32"/>
          <w:lang w:eastAsia="zh-CN"/>
        </w:rPr>
        <w:t>18</w:t>
      </w:r>
      <w:r>
        <w:rPr>
          <w:rStyle w:val="18"/>
          <w:rFonts w:hint="eastAsia" w:ascii="仿宋" w:hAnsi="仿宋" w:eastAsia="仿宋"/>
          <w:bCs/>
          <w:color w:val="000000"/>
          <w:sz w:val="32"/>
          <w:szCs w:val="32"/>
          <w:lang w:val="en-US" w:eastAsia="zh-CN"/>
        </w:rPr>
        <w:t>.</w:t>
      </w:r>
      <w:r>
        <w:rPr>
          <w:rStyle w:val="18"/>
          <w:rFonts w:hint="eastAsia" w:ascii="仿宋" w:hAnsi="仿宋" w:eastAsia="仿宋"/>
          <w:bCs/>
          <w:color w:val="000000"/>
          <w:sz w:val="32"/>
          <w:szCs w:val="32"/>
          <w:lang w:eastAsia="zh-CN"/>
        </w:rPr>
        <w:t>住房保障支出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221住房改革支出</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02公住房公积金</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01</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27.71</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numPr>
          <w:ilvl w:val="0"/>
          <w:numId w:val="0"/>
        </w:numPr>
        <w:spacing w:line="600" w:lineRule="exact"/>
        <w:ind w:firstLine="420" w:firstLineChars="200"/>
        <w:rPr>
          <w:rStyle w:val="18"/>
          <w:rFonts w:hint="eastAsia" w:ascii="仿宋" w:hAnsi="仿宋" w:eastAsia="仿宋"/>
          <w:b w:val="0"/>
          <w:bCs/>
          <w:color w:val="000000"/>
          <w:sz w:val="32"/>
          <w:szCs w:val="32"/>
        </w:rPr>
      </w:pPr>
      <w:r>
        <w:rPr>
          <w:rFonts w:hint="eastAsia"/>
          <w:lang w:val="en-US" w:eastAsia="zh-CN"/>
        </w:rPr>
        <w:t xml:space="preserve">   </w:t>
      </w:r>
      <w:r>
        <w:rPr>
          <w:rStyle w:val="18"/>
          <w:rFonts w:hint="eastAsia" w:ascii="仿宋" w:hAnsi="仿宋" w:eastAsia="仿宋"/>
          <w:bCs/>
          <w:color w:val="000000"/>
          <w:sz w:val="32"/>
          <w:szCs w:val="32"/>
          <w:lang w:val="en-US" w:eastAsia="zh-CN"/>
        </w:rPr>
        <w:t>1</w:t>
      </w:r>
      <w:r>
        <w:rPr>
          <w:rStyle w:val="18"/>
          <w:rFonts w:hint="default" w:ascii="仿宋" w:hAnsi="仿宋" w:eastAsia="仿宋"/>
          <w:bCs/>
          <w:color w:val="000000"/>
          <w:sz w:val="32"/>
          <w:szCs w:val="32"/>
          <w:lang w:eastAsia="zh-CN"/>
        </w:rPr>
        <w:t>9</w:t>
      </w:r>
      <w:r>
        <w:rPr>
          <w:rStyle w:val="18"/>
          <w:rFonts w:hint="eastAsia" w:ascii="仿宋" w:hAnsi="仿宋" w:eastAsia="仿宋"/>
          <w:bCs/>
          <w:color w:val="000000"/>
          <w:sz w:val="32"/>
          <w:szCs w:val="32"/>
          <w:lang w:val="en-US" w:eastAsia="zh-CN"/>
        </w:rPr>
        <w:t>.</w:t>
      </w:r>
      <w:r>
        <w:rPr>
          <w:rStyle w:val="18"/>
          <w:rFonts w:hint="eastAsia" w:ascii="仿宋" w:hAnsi="仿宋" w:eastAsia="仿宋"/>
          <w:bCs/>
          <w:color w:val="000000"/>
          <w:sz w:val="32"/>
          <w:szCs w:val="32"/>
          <w:lang w:eastAsia="zh-CN"/>
        </w:rPr>
        <w:t>灾害防治及应急管理支出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224应急管理事务</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01应急救援</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08</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5</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ind w:firstLine="643" w:firstLineChars="200"/>
        <w:rPr>
          <w:rStyle w:val="18"/>
          <w:rFonts w:hint="eastAsia" w:ascii="仿宋" w:hAnsi="仿宋" w:eastAsia="仿宋"/>
          <w:bCs/>
          <w:color w:val="000000"/>
          <w:sz w:val="32"/>
          <w:szCs w:val="32"/>
          <w:lang w:eastAsia="zh-CN"/>
        </w:rPr>
      </w:pPr>
      <w:r>
        <w:rPr>
          <w:rStyle w:val="18"/>
          <w:rFonts w:hint="default" w:ascii="仿宋" w:hAnsi="仿宋" w:eastAsia="仿宋"/>
          <w:bCs/>
          <w:color w:val="000000"/>
          <w:sz w:val="32"/>
          <w:szCs w:val="32"/>
          <w:lang w:eastAsia="zh-CN"/>
        </w:rPr>
        <w:t>20.</w:t>
      </w:r>
      <w:r>
        <w:rPr>
          <w:rStyle w:val="18"/>
          <w:rFonts w:hint="eastAsia" w:ascii="仿宋" w:hAnsi="仿宋" w:eastAsia="仿宋"/>
          <w:bCs/>
          <w:color w:val="000000"/>
          <w:sz w:val="32"/>
          <w:szCs w:val="32"/>
          <w:lang w:eastAsia="zh-CN"/>
        </w:rPr>
        <w:t>灾害防治及应急管理支出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224应急管理事务</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01其他应急管理支出</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val="en-US" w:eastAsia="zh-CN"/>
        </w:rPr>
        <w:t>99</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spacing w:line="600" w:lineRule="exact"/>
        <w:ind w:firstLine="643" w:firstLineChars="200"/>
        <w:rPr>
          <w:rStyle w:val="18"/>
          <w:rFonts w:hint="eastAsia" w:ascii="仿宋" w:hAnsi="仿宋" w:eastAsia="仿宋"/>
          <w:b w:val="0"/>
          <w:bCs/>
          <w:color w:val="000000"/>
          <w:sz w:val="32"/>
          <w:szCs w:val="32"/>
        </w:rPr>
      </w:pPr>
      <w:r>
        <w:rPr>
          <w:rStyle w:val="18"/>
          <w:rFonts w:hint="default" w:ascii="仿宋" w:hAnsi="仿宋" w:eastAsia="仿宋"/>
          <w:bCs/>
          <w:color w:val="000000"/>
          <w:sz w:val="32"/>
          <w:szCs w:val="32"/>
          <w:lang w:eastAsia="zh-CN"/>
        </w:rPr>
        <w:t>21.</w:t>
      </w:r>
      <w:r>
        <w:rPr>
          <w:rStyle w:val="18"/>
          <w:rFonts w:hint="eastAsia" w:ascii="仿宋" w:hAnsi="仿宋" w:eastAsia="仿宋"/>
          <w:bCs/>
          <w:color w:val="000000"/>
          <w:sz w:val="32"/>
          <w:szCs w:val="32"/>
          <w:lang w:eastAsia="zh-CN"/>
        </w:rPr>
        <w:t>灾害防治及应急管理支出</w:t>
      </w:r>
      <w:r>
        <w:rPr>
          <w:rStyle w:val="18"/>
          <w:rFonts w:hint="eastAsia" w:ascii="仿宋" w:hAnsi="仿宋" w:eastAsia="仿宋"/>
          <w:bCs/>
          <w:color w:val="000000"/>
          <w:sz w:val="32"/>
          <w:szCs w:val="32"/>
        </w:rPr>
        <w:t>（类）</w:t>
      </w:r>
      <w:r>
        <w:rPr>
          <w:rStyle w:val="18"/>
          <w:rFonts w:hint="eastAsia" w:ascii="仿宋" w:hAnsi="仿宋" w:eastAsia="仿宋"/>
          <w:bCs/>
          <w:color w:val="000000"/>
          <w:sz w:val="32"/>
          <w:szCs w:val="32"/>
          <w:lang w:val="en-US" w:eastAsia="zh-CN"/>
        </w:rPr>
        <w:t>224自然灾害救灾及恢复重建支出</w:t>
      </w:r>
      <w:r>
        <w:rPr>
          <w:rStyle w:val="18"/>
          <w:rFonts w:hint="eastAsia" w:ascii="仿宋" w:hAnsi="仿宋" w:eastAsia="仿宋"/>
          <w:bCs/>
          <w:color w:val="000000"/>
          <w:sz w:val="32"/>
          <w:szCs w:val="32"/>
        </w:rPr>
        <w:t>（款）</w:t>
      </w:r>
      <w:r>
        <w:rPr>
          <w:rStyle w:val="18"/>
          <w:rFonts w:hint="eastAsia" w:ascii="仿宋" w:hAnsi="仿宋" w:eastAsia="仿宋"/>
          <w:bCs/>
          <w:color w:val="000000"/>
          <w:sz w:val="32"/>
          <w:szCs w:val="32"/>
          <w:lang w:val="en-US" w:eastAsia="zh-CN"/>
        </w:rPr>
        <w:t>07自然灾害救灾补助（项）03</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9</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9"/>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34"/>
      <w:bookmarkEnd w:id="35"/>
      <w:r>
        <w:rPr>
          <w:rStyle w:val="2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570.27</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514.5</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113.86万元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62.46万元</w:t>
      </w:r>
      <w:r>
        <w:rPr>
          <w:rFonts w:hint="eastAsia" w:ascii="仿宋" w:hAnsi="仿宋" w:eastAsia="仿宋"/>
          <w:color w:val="auto"/>
          <w:sz w:val="32"/>
          <w:szCs w:val="32"/>
          <w:highlight w:val="none"/>
        </w:rPr>
        <w:t>、奖金</w:t>
      </w:r>
      <w:r>
        <w:rPr>
          <w:rFonts w:hint="eastAsia" w:ascii="仿宋" w:hAnsi="仿宋" w:eastAsia="仿宋"/>
          <w:color w:val="auto"/>
          <w:sz w:val="32"/>
          <w:szCs w:val="32"/>
          <w:highlight w:val="none"/>
          <w:lang w:val="en-US" w:eastAsia="zh-CN"/>
        </w:rPr>
        <w:t>48.58万元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27.8万元</w:t>
      </w:r>
      <w:r>
        <w:rPr>
          <w:rFonts w:hint="eastAsia" w:ascii="仿宋" w:hAnsi="仿宋" w:eastAsia="仿宋"/>
          <w:color w:val="auto"/>
          <w:sz w:val="32"/>
          <w:szCs w:val="32"/>
          <w:highlight w:val="none"/>
        </w:rPr>
        <w:t>、职业年金缴费</w:t>
      </w:r>
      <w:r>
        <w:rPr>
          <w:rFonts w:hint="eastAsia" w:ascii="仿宋" w:hAnsi="仿宋" w:eastAsia="仿宋"/>
          <w:color w:val="auto"/>
          <w:sz w:val="32"/>
          <w:szCs w:val="32"/>
          <w:highlight w:val="none"/>
          <w:lang w:val="en-US" w:eastAsia="zh-CN"/>
        </w:rPr>
        <w:t>9.02万元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职工基本医疗保险缴费13.92万元、</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0.87万元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27.71万元</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val="en-US" w:eastAsia="zh-CN"/>
        </w:rPr>
        <w:t>9.45万元</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val="en-US" w:eastAsia="zh-CN"/>
        </w:rPr>
        <w:t>200.82万元</w:t>
      </w:r>
      <w:r>
        <w:rPr>
          <w:rFonts w:hint="eastAsia" w:ascii="仿宋" w:hAnsi="仿宋" w:eastAsia="仿宋"/>
          <w:color w:val="auto"/>
          <w:sz w:val="32"/>
          <w:szCs w:val="32"/>
          <w:highlight w:val="none"/>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55.77</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6.17万元</w:t>
      </w:r>
      <w:r>
        <w:rPr>
          <w:rFonts w:hint="eastAsia" w:ascii="仿宋" w:hAnsi="仿宋" w:eastAsia="仿宋"/>
          <w:color w:val="auto"/>
          <w:sz w:val="32"/>
          <w:szCs w:val="32"/>
          <w:highlight w:val="none"/>
        </w:rPr>
        <w:t>、印刷费</w:t>
      </w:r>
      <w:r>
        <w:rPr>
          <w:rFonts w:hint="eastAsia" w:ascii="仿宋" w:hAnsi="仿宋" w:eastAsia="仿宋"/>
          <w:color w:val="auto"/>
          <w:sz w:val="32"/>
          <w:szCs w:val="32"/>
          <w:highlight w:val="none"/>
          <w:lang w:val="en-US" w:eastAsia="zh-CN"/>
        </w:rPr>
        <w:t>5.5万元</w:t>
      </w:r>
      <w:r>
        <w:rPr>
          <w:rFonts w:hint="eastAsia" w:ascii="仿宋" w:hAnsi="仿宋" w:eastAsia="仿宋"/>
          <w:color w:val="auto"/>
          <w:sz w:val="32"/>
          <w:szCs w:val="32"/>
          <w:highlight w:val="none"/>
        </w:rPr>
        <w:t>、手续费</w:t>
      </w:r>
      <w:r>
        <w:rPr>
          <w:rFonts w:hint="eastAsia" w:ascii="仿宋" w:hAnsi="仿宋" w:eastAsia="仿宋"/>
          <w:color w:val="auto"/>
          <w:sz w:val="32"/>
          <w:szCs w:val="32"/>
          <w:highlight w:val="none"/>
          <w:lang w:val="en-US" w:eastAsia="zh-CN"/>
        </w:rPr>
        <w:t>0.3万元</w:t>
      </w:r>
      <w:r>
        <w:rPr>
          <w:rFonts w:hint="eastAsia" w:ascii="仿宋" w:hAnsi="仿宋" w:eastAsia="仿宋"/>
          <w:color w:val="auto"/>
          <w:sz w:val="32"/>
          <w:szCs w:val="32"/>
          <w:highlight w:val="none"/>
        </w:rPr>
        <w:t>、水费</w:t>
      </w:r>
      <w:r>
        <w:rPr>
          <w:rFonts w:hint="eastAsia" w:ascii="仿宋" w:hAnsi="仿宋" w:eastAsia="仿宋"/>
          <w:color w:val="auto"/>
          <w:sz w:val="32"/>
          <w:szCs w:val="32"/>
          <w:highlight w:val="none"/>
          <w:lang w:val="en-US" w:eastAsia="zh-CN"/>
        </w:rPr>
        <w:t>1万元</w:t>
      </w:r>
      <w:r>
        <w:rPr>
          <w:rFonts w:hint="eastAsia" w:ascii="仿宋" w:hAnsi="仿宋" w:eastAsia="仿宋"/>
          <w:color w:val="auto"/>
          <w:sz w:val="32"/>
          <w:szCs w:val="32"/>
          <w:highlight w:val="none"/>
        </w:rPr>
        <w:t>、电费</w:t>
      </w:r>
      <w:r>
        <w:rPr>
          <w:rFonts w:hint="eastAsia" w:ascii="仿宋" w:hAnsi="仿宋" w:eastAsia="仿宋"/>
          <w:color w:val="auto"/>
          <w:sz w:val="32"/>
          <w:szCs w:val="32"/>
          <w:highlight w:val="none"/>
          <w:lang w:val="en-US" w:eastAsia="zh-CN"/>
        </w:rPr>
        <w:t>6.5万元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5.4万元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9.2万元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2万元</w:t>
      </w:r>
      <w:r>
        <w:rPr>
          <w:rFonts w:hint="eastAsia" w:ascii="仿宋" w:hAnsi="仿宋" w:eastAsia="仿宋"/>
          <w:color w:val="auto"/>
          <w:sz w:val="32"/>
          <w:szCs w:val="32"/>
          <w:highlight w:val="none"/>
        </w:rPr>
        <w:t>、会议费</w:t>
      </w:r>
      <w:r>
        <w:rPr>
          <w:rFonts w:hint="eastAsia" w:ascii="仿宋" w:hAnsi="仿宋" w:eastAsia="仿宋"/>
          <w:color w:val="auto"/>
          <w:sz w:val="32"/>
          <w:szCs w:val="32"/>
          <w:highlight w:val="none"/>
          <w:lang w:val="en-US" w:eastAsia="zh-CN"/>
        </w:rPr>
        <w:t>0.3万元</w:t>
      </w:r>
      <w:r>
        <w:rPr>
          <w:rFonts w:hint="eastAsia" w:ascii="仿宋" w:hAnsi="仿宋" w:eastAsia="仿宋"/>
          <w:color w:val="auto"/>
          <w:sz w:val="32"/>
          <w:szCs w:val="32"/>
          <w:highlight w:val="none"/>
        </w:rPr>
        <w:t>、公务接待费</w:t>
      </w:r>
      <w:r>
        <w:rPr>
          <w:rFonts w:hint="eastAsia" w:ascii="仿宋" w:hAnsi="仿宋" w:eastAsia="仿宋"/>
          <w:color w:val="auto"/>
          <w:sz w:val="32"/>
          <w:szCs w:val="32"/>
          <w:highlight w:val="none"/>
          <w:lang w:val="en-US" w:eastAsia="zh-CN"/>
        </w:rPr>
        <w:t>0.95万元</w:t>
      </w:r>
      <w:r>
        <w:rPr>
          <w:rFonts w:hint="eastAsia" w:ascii="仿宋" w:hAnsi="仿宋" w:eastAsia="仿宋"/>
          <w:color w:val="auto"/>
          <w:sz w:val="32"/>
          <w:szCs w:val="32"/>
          <w:highlight w:val="none"/>
        </w:rPr>
        <w:t>、劳务费</w:t>
      </w:r>
      <w:r>
        <w:rPr>
          <w:rFonts w:hint="eastAsia" w:ascii="仿宋" w:hAnsi="仿宋" w:eastAsia="仿宋"/>
          <w:color w:val="auto"/>
          <w:sz w:val="32"/>
          <w:szCs w:val="32"/>
          <w:highlight w:val="none"/>
          <w:lang w:val="en-US" w:eastAsia="zh-CN"/>
        </w:rPr>
        <w:t>4.1万元</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2.09万元</w:t>
      </w:r>
      <w:r>
        <w:rPr>
          <w:rFonts w:hint="eastAsia" w:ascii="仿宋" w:hAnsi="仿宋" w:eastAsia="仿宋"/>
          <w:color w:val="auto"/>
          <w:sz w:val="32"/>
          <w:szCs w:val="32"/>
          <w:highlight w:val="none"/>
        </w:rPr>
        <w:t>、福利费</w:t>
      </w:r>
      <w:r>
        <w:rPr>
          <w:rFonts w:hint="eastAsia" w:ascii="仿宋" w:hAnsi="仿宋" w:eastAsia="仿宋"/>
          <w:color w:val="auto"/>
          <w:sz w:val="32"/>
          <w:szCs w:val="32"/>
          <w:highlight w:val="none"/>
          <w:lang w:val="en-US" w:eastAsia="zh-CN"/>
        </w:rPr>
        <w:t>5.22万元</w:t>
      </w:r>
      <w:r>
        <w:rPr>
          <w:rFonts w:hint="eastAsia" w:ascii="仿宋" w:hAnsi="仿宋" w:eastAsia="仿宋"/>
          <w:color w:val="auto"/>
          <w:sz w:val="32"/>
          <w:szCs w:val="32"/>
          <w:highlight w:val="none"/>
        </w:rPr>
        <w:t>、其他交通费</w:t>
      </w:r>
      <w:r>
        <w:rPr>
          <w:rFonts w:hint="eastAsia" w:ascii="仿宋" w:hAnsi="仿宋" w:eastAsia="仿宋"/>
          <w:color w:val="auto"/>
          <w:sz w:val="32"/>
          <w:szCs w:val="32"/>
          <w:highlight w:val="none"/>
          <w:lang w:val="en-US" w:eastAsia="zh-CN"/>
        </w:rPr>
        <w:t>7.04万元</w:t>
      </w:r>
      <w:r>
        <w:rPr>
          <w:rFonts w:hint="eastAsia" w:ascii="仿宋" w:hAnsi="仿宋" w:eastAsia="仿宋"/>
          <w:color w:val="auto"/>
          <w:sz w:val="32"/>
          <w:szCs w:val="32"/>
          <w:highlight w:val="none"/>
        </w:rPr>
        <w:t>。</w:t>
      </w:r>
    </w:p>
    <w:p>
      <w:pPr>
        <w:spacing w:line="600" w:lineRule="exact"/>
        <w:ind w:firstLine="640"/>
        <w:outlineLvl w:val="1"/>
        <w:rPr>
          <w:rStyle w:val="29"/>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9"/>
          <w:rFonts w:hint="eastAsia" w:ascii="黑体" w:hAnsi="黑体" w:eastAsia="黑体"/>
          <w:b w:val="0"/>
          <w:color w:val="auto"/>
          <w:highlight w:val="none"/>
        </w:rPr>
        <w:t>财政拨款</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0.95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减少1.63万元，下降63.18%。主要原因是接待支出减少</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3956050" cy="4048760"/>
            <wp:effectExtent l="4445" t="4445" r="20955" b="234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val="en-US" w:eastAsia="zh-CN"/>
        </w:rPr>
        <w:t>年初未安排预算</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val="en-US" w:eastAsia="zh-CN"/>
        </w:rPr>
        <w:t>年初未安排预算</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r>
        <w:rPr>
          <w:rFonts w:hint="eastAsia" w:ascii="仿宋_GB2312" w:eastAsia="仿宋_GB2312"/>
          <w:color w:val="auto"/>
          <w:sz w:val="32"/>
          <w:szCs w:val="32"/>
          <w:highlight w:val="none"/>
        </w:rPr>
        <w:t>。</w:t>
      </w:r>
    </w:p>
    <w:p>
      <w:pPr>
        <w:spacing w:line="600" w:lineRule="exact"/>
        <w:ind w:firstLine="640" w:firstLineChars="200"/>
        <w:rPr>
          <w:rFonts w:hint="default"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default" w:ascii="仿宋_GB2312" w:eastAsia="仿宋_GB2312"/>
          <w:color w:val="auto"/>
          <w:sz w:val="32"/>
          <w:szCs w:val="32"/>
          <w:highlight w:val="none"/>
        </w:rPr>
        <w:t>。</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0.95</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default" w:ascii="仿宋" w:hAnsi="仿宋" w:eastAsia="仿宋"/>
          <w:b w:val="0"/>
          <w:bCs/>
          <w:color w:val="auto"/>
          <w:sz w:val="32"/>
          <w:szCs w:val="32"/>
          <w:highlight w:val="none"/>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1.63</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下降63.18%。</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接待支出减少</w:t>
      </w:r>
      <w:r>
        <w:rPr>
          <w:rFonts w:hint="eastAsia" w:ascii="仿宋" w:hAnsi="仿宋" w:eastAsia="仿宋"/>
          <w:color w:val="auto"/>
          <w:sz w:val="32"/>
          <w:szCs w:val="32"/>
          <w:highlight w:val="none"/>
        </w:rPr>
        <w:t>。</w:t>
      </w:r>
      <w:r>
        <w:rPr>
          <w:rFonts w:hint="eastAsia" w:ascii="仿宋_GB2312" w:eastAsia="仿宋_GB2312"/>
          <w:b w:val="0"/>
          <w:bCs w:val="0"/>
          <w:color w:val="auto"/>
          <w:sz w:val="32"/>
          <w:szCs w:val="32"/>
          <w:highlight w:val="none"/>
          <w:lang w:val="en-US" w:eastAsia="zh-CN"/>
        </w:rPr>
        <w:t>其中</w:t>
      </w:r>
      <w:r>
        <w:rPr>
          <w:rFonts w:hint="eastAsia" w:ascii="仿宋_GB2312" w:eastAsia="仿宋_GB2312"/>
          <w:b w:val="0"/>
          <w:bCs w:val="0"/>
          <w:color w:val="auto"/>
          <w:sz w:val="32"/>
          <w:szCs w:val="32"/>
          <w:highlight w:val="none"/>
        </w:rPr>
        <w:t>：</w:t>
      </w:r>
    </w:p>
    <w:p>
      <w:pPr>
        <w:spacing w:line="600" w:lineRule="exact"/>
        <w:ind w:firstLine="643" w:firstLineChars="200"/>
        <w:jc w:val="left"/>
        <w:rPr>
          <w:rFonts w:hint="default"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0.95</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招商引资接待</w:t>
      </w:r>
      <w:r>
        <w:rPr>
          <w:rFonts w:hint="eastAsia" w:ascii="仿宋_GB2312" w:eastAsia="仿宋_GB2312"/>
          <w:color w:val="auto"/>
          <w:sz w:val="32"/>
          <w:szCs w:val="32"/>
          <w:highlight w:val="none"/>
        </w:rPr>
        <w:t>活动开支的</w:t>
      </w:r>
      <w:r>
        <w:rPr>
          <w:rFonts w:hint="eastAsia" w:ascii="仿宋_GB2312" w:eastAsia="仿宋_GB2312"/>
          <w:color w:val="auto"/>
          <w:sz w:val="32"/>
          <w:szCs w:val="32"/>
          <w:highlight w:val="none"/>
          <w:lang w:val="en-US" w:eastAsia="zh-CN"/>
        </w:rPr>
        <w:t>用餐费</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0.95</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接待招商引资企业2次20人，接待安全工作省督导组检查1次12人。</w:t>
      </w:r>
    </w:p>
    <w:p>
      <w:pPr>
        <w:spacing w:line="600" w:lineRule="exact"/>
        <w:ind w:firstLine="643" w:firstLineChars="200"/>
        <w:jc w:val="left"/>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default" w:ascii="仿宋_GB2312" w:eastAsia="仿宋_GB2312"/>
          <w:color w:val="auto"/>
          <w:sz w:val="32"/>
          <w:szCs w:val="32"/>
          <w:highlight w:val="none"/>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jc w:val="left"/>
        <w:outlineLvl w:val="1"/>
        <w:rPr>
          <w:rStyle w:val="29"/>
          <w:rFonts w:ascii="黑体" w:hAnsi="黑体" w:eastAsia="黑体"/>
          <w:color w:val="auto"/>
          <w:highlight w:val="none"/>
        </w:rPr>
      </w:pPr>
      <w:bookmarkStart w:id="40" w:name="_Toc15377218"/>
      <w:bookmarkStart w:id="41" w:name="_Toc15396610"/>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40"/>
      <w:bookmarkEnd w:id="41"/>
    </w:p>
    <w:p>
      <w:pPr>
        <w:spacing w:line="600" w:lineRule="exact"/>
        <w:ind w:firstLine="640"/>
        <w:jc w:val="left"/>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848.78</w:t>
      </w:r>
      <w:r>
        <w:rPr>
          <w:rFonts w:hint="eastAsia" w:ascii="仿宋_GB2312" w:eastAsia="仿宋_GB2312"/>
          <w:color w:val="auto"/>
          <w:sz w:val="32"/>
          <w:szCs w:val="32"/>
          <w:highlight w:val="none"/>
        </w:rPr>
        <w:t>万元。</w:t>
      </w:r>
    </w:p>
    <w:p>
      <w:pPr>
        <w:numPr>
          <w:ilvl w:val="0"/>
          <w:numId w:val="4"/>
        </w:numPr>
        <w:spacing w:line="600" w:lineRule="exact"/>
        <w:ind w:firstLine="640"/>
        <w:jc w:val="left"/>
        <w:outlineLvl w:val="1"/>
        <w:rPr>
          <w:rStyle w:val="29"/>
          <w:rFonts w:ascii="黑体" w:hAnsi="黑体" w:eastAsia="黑体"/>
          <w:b w:val="0"/>
          <w:color w:val="auto"/>
          <w:highlight w:val="none"/>
        </w:rPr>
      </w:pPr>
      <w:bookmarkStart w:id="42" w:name="_Toc15377219"/>
      <w:bookmarkStart w:id="43" w:name="_Toc15396611"/>
      <w:r>
        <w:rPr>
          <w:rStyle w:val="29"/>
          <w:rFonts w:hint="eastAsia" w:ascii="黑体" w:hAnsi="黑体" w:eastAsia="黑体"/>
          <w:b w:val="0"/>
          <w:color w:val="auto"/>
          <w:highlight w:val="none"/>
        </w:rPr>
        <w:t>国有资本经营预算支出决算情况说明</w:t>
      </w:r>
      <w:bookmarkEnd w:id="42"/>
      <w:bookmarkEnd w:id="43"/>
    </w:p>
    <w:p>
      <w:pPr>
        <w:spacing w:line="600" w:lineRule="exact"/>
        <w:ind w:firstLine="640"/>
        <w:jc w:val="left"/>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0.03</w:t>
      </w:r>
      <w:r>
        <w:rPr>
          <w:rFonts w:hint="eastAsia" w:ascii="仿宋_GB2312" w:eastAsia="仿宋_GB2312"/>
          <w:color w:val="auto"/>
          <w:sz w:val="32"/>
          <w:szCs w:val="32"/>
          <w:highlight w:val="none"/>
        </w:rPr>
        <w:t>万元。</w:t>
      </w:r>
    </w:p>
    <w:p>
      <w:pPr>
        <w:numPr>
          <w:ilvl w:val="0"/>
          <w:numId w:val="4"/>
        </w:numPr>
        <w:spacing w:line="600" w:lineRule="exact"/>
        <w:ind w:firstLine="640"/>
        <w:jc w:val="left"/>
        <w:outlineLvl w:val="1"/>
        <w:rPr>
          <w:rStyle w:val="29"/>
          <w:rFonts w:hint="eastAsia" w:ascii="黑体" w:hAnsi="黑体" w:eastAsia="黑体"/>
          <w:b w:val="0"/>
          <w:color w:val="auto"/>
          <w:highlight w:val="none"/>
        </w:rPr>
      </w:pPr>
      <w:bookmarkStart w:id="44" w:name="_Toc15396612"/>
      <w:bookmarkStart w:id="45" w:name="_Toc15377221"/>
      <w:r>
        <w:rPr>
          <w:rStyle w:val="29"/>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袁家坝办事处</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55.77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64.22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53.52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支出减少。</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袁家坝办事处</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28.4</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28.4</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办事处新办公楼采购空调、家具等</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28.4</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28.4</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袁家坝办事处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7"/>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袁家坝党建经费、袁家坝城乡环境卫生整治</w:t>
      </w:r>
      <w:r>
        <w:rPr>
          <w:rFonts w:hint="eastAsia" w:ascii="仿宋_GB2312" w:hAnsi="仿宋_GB2312" w:eastAsia="仿宋_GB2312" w:cs="仿宋_GB2312"/>
          <w:color w:val="auto"/>
          <w:sz w:val="32"/>
          <w:szCs w:val="32"/>
          <w:highlight w:val="none"/>
        </w:rPr>
        <w:t>项目等</w:t>
      </w:r>
      <w:r>
        <w:rPr>
          <w:rFonts w:hint="eastAsia" w:hAnsi="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5"/>
        </w:numPr>
        <w:spacing w:line="600" w:lineRule="exact"/>
        <w:ind w:firstLine="660" w:firstLineChars="150"/>
        <w:jc w:val="center"/>
        <w:outlineLvl w:val="0"/>
        <w:rPr>
          <w:rStyle w:val="28"/>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.年初结转和结余：指以前年度尚未完成、结转到本年按有关规定继续使用的资金。 </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widowControl/>
        <w:suppressLineNumbers w:val="0"/>
        <w:ind w:firstLine="640" w:firstLineChars="200"/>
        <w:jc w:val="left"/>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hAnsi="仿宋_GB2312" w:eastAsia="仿宋_GB2312" w:cs="仿宋_GB2312"/>
          <w:kern w:val="0"/>
          <w:sz w:val="32"/>
          <w:szCs w:val="32"/>
          <w:lang w:val="en-US" w:eastAsia="zh-CN" w:bidi="ar"/>
        </w:rPr>
        <w:t>一般公共服务支出（类）201政府办公厅（室）及相关机构事务（款）03行政运行（项）01：指反映行政单位（包括实行公务员管理的事业单位）的基本支出。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一般公共服务支出（类）201政府办公厅（室）及相关机构事务（款）03</w:t>
      </w:r>
      <w:r>
        <w:rPr>
          <w:rFonts w:hint="eastAsia" w:ascii="仿宋_GB2312" w:eastAsia="仿宋_GB2312"/>
          <w:color w:val="000000"/>
          <w:sz w:val="32"/>
          <w:szCs w:val="32"/>
          <w:lang w:val="en-US" w:eastAsia="zh-CN"/>
        </w:rPr>
        <w:t>机关服务</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反映为行政单位（包括实行公务员管理的事业单位）提供后勤服务的各类后勤服务中心、医务室等附属事业单位的支出</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仿宋_GB2312" w:eastAsia="仿宋_GB2312"/>
          <w:b w:val="0"/>
          <w:bCs w:val="0"/>
          <w:color w:val="000000"/>
          <w:sz w:val="32"/>
          <w:szCs w:val="32"/>
          <w:lang w:val="en-US"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w:t>
      </w:r>
      <w:r>
        <w:rPr>
          <w:rFonts w:hint="eastAsia" w:ascii="仿宋_GB2312" w:hAnsi="仿宋_GB2312" w:eastAsia="仿宋_GB2312" w:cs="仿宋_GB2312"/>
          <w:kern w:val="0"/>
          <w:sz w:val="32"/>
          <w:szCs w:val="32"/>
          <w:lang w:val="en-US" w:eastAsia="zh-CN" w:bidi="ar"/>
        </w:rPr>
        <w:t>一般公共服务支出（类）201纪检监察事务（款）11</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一般行政管理事务（项）02</w:t>
      </w:r>
      <w:r>
        <w:rPr>
          <w:rStyle w:val="18"/>
          <w:rFonts w:hint="eastAsia" w:ascii="仿宋_GB2312" w:eastAsia="仿宋_GB2312"/>
          <w:b w:val="0"/>
          <w:bCs w:val="0"/>
          <w:color w:val="000000"/>
          <w:sz w:val="32"/>
          <w:szCs w:val="32"/>
        </w:rPr>
        <w:t>：</w:t>
      </w:r>
      <w:r>
        <w:rPr>
          <w:rStyle w:val="18"/>
          <w:rFonts w:hint="eastAsia" w:ascii="仿宋_GB2312" w:eastAsia="仿宋_GB2312"/>
          <w:b w:val="0"/>
          <w:bCs w:val="0"/>
          <w:color w:val="000000"/>
          <w:sz w:val="32"/>
          <w:szCs w:val="32"/>
          <w:lang w:val="en-US" w:eastAsia="zh-CN"/>
        </w:rPr>
        <w:t xml:space="preserve">反映行政单位（包括实行公务员管理的事业单位）未单独设置项目科目的其他项目支出。 </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hint="eastAsia" w:ascii="仿宋_GB2312" w:hAnsi="仿宋_GB2312" w:eastAsia="仿宋_GB2312" w:cs="仿宋_GB2312"/>
          <w:kern w:val="0"/>
          <w:sz w:val="32"/>
          <w:szCs w:val="32"/>
          <w:lang w:val="en-US" w:eastAsia="zh-CN" w:bidi="ar"/>
        </w:rPr>
        <w:t>一般公共服务支出（类）201</w:t>
      </w:r>
      <w:r>
        <w:rPr>
          <w:rFonts w:hint="eastAsia" w:ascii="仿宋_GB2312" w:eastAsia="仿宋_GB2312"/>
          <w:color w:val="000000"/>
          <w:sz w:val="32"/>
          <w:szCs w:val="32"/>
          <w:lang w:val="en-US" w:eastAsia="zh-CN"/>
        </w:rPr>
        <w:t>招商事务（项）13招商引资（款）08：指反映用于招商引资、优化经济环境等反面的支出。</w:t>
      </w:r>
    </w:p>
    <w:p>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000000"/>
          <w:sz w:val="32"/>
          <w:szCs w:val="32"/>
          <w:lang w:val="en-US" w:eastAsia="zh-CN"/>
        </w:rPr>
        <w:t>10.</w:t>
      </w:r>
      <w:r>
        <w:rPr>
          <w:rFonts w:hint="eastAsia" w:ascii="仿宋_GB2312" w:hAnsi="仿宋_GB2312" w:eastAsia="仿宋_GB2312" w:cs="仿宋_GB2312"/>
          <w:kern w:val="0"/>
          <w:sz w:val="32"/>
          <w:szCs w:val="32"/>
          <w:lang w:val="en-US" w:eastAsia="zh-CN" w:bidi="ar"/>
        </w:rPr>
        <w:t>一般公共服务支出（类）201组织事务（款）32</w:t>
      </w:r>
      <w:r>
        <w:rPr>
          <w:rFonts w:hint="eastAsia" w:ascii="仿宋_GB2312" w:eastAsia="仿宋_GB2312"/>
          <w:color w:val="000000"/>
          <w:sz w:val="32"/>
          <w:szCs w:val="32"/>
        </w:rPr>
        <w:t>其 一般行政管理事务（项）</w:t>
      </w:r>
      <w:r>
        <w:rPr>
          <w:rFonts w:hint="eastAsia" w:ascii="仿宋_GB2312" w:eastAsia="仿宋_GB2312"/>
          <w:color w:val="000000"/>
          <w:sz w:val="32"/>
          <w:szCs w:val="32"/>
          <w:lang w:val="en-US" w:eastAsia="zh-CN"/>
        </w:rPr>
        <w:t>02</w:t>
      </w:r>
      <w:r>
        <w:rPr>
          <w:rFonts w:hint="eastAsia" w:ascii="仿宋_GB2312" w:eastAsia="仿宋_GB2312"/>
          <w:color w:val="auto"/>
          <w:sz w:val="32"/>
          <w:szCs w:val="32"/>
        </w:rPr>
        <w:t>：指反映</w:t>
      </w:r>
      <w:r>
        <w:rPr>
          <w:rFonts w:hint="eastAsia" w:ascii="仿宋_GB2312" w:eastAsia="仿宋_GB2312"/>
          <w:color w:val="auto"/>
          <w:sz w:val="32"/>
          <w:szCs w:val="32"/>
          <w:lang w:eastAsia="zh-CN"/>
        </w:rPr>
        <w:t>行政单位（包括实行公务员管理的事业单位）未单独设置顶级科目的去他项目支出</w:t>
      </w:r>
      <w:r>
        <w:rPr>
          <w:rFonts w:hint="eastAsia" w:ascii="仿宋_GB2312" w:eastAsia="仿宋_GB2312"/>
          <w:color w:val="auto"/>
          <w:sz w:val="32"/>
          <w:szCs w:val="32"/>
        </w:rPr>
        <w:t>。</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000000"/>
          <w:sz w:val="32"/>
          <w:szCs w:val="32"/>
          <w:lang w:val="en-US" w:eastAsia="zh-CN"/>
        </w:rPr>
        <w:t>11.</w:t>
      </w:r>
      <w:r>
        <w:rPr>
          <w:rFonts w:hint="eastAsia" w:ascii="仿宋_GB2312" w:hAnsi="仿宋_GB2312" w:eastAsia="仿宋_GB2312" w:cs="仿宋_GB2312"/>
          <w:kern w:val="0"/>
          <w:sz w:val="32"/>
          <w:szCs w:val="32"/>
          <w:lang w:val="en-US" w:eastAsia="zh-CN" w:bidi="ar"/>
        </w:rPr>
        <w:t>一般公共服务（类）201其他一般公共服务支出（款）99</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其他一般公共服务支出</w:t>
      </w:r>
      <w:r>
        <w:rPr>
          <w:rFonts w:hint="eastAsia" w:ascii="仿宋_GB2312" w:eastAsia="仿宋_GB2312"/>
          <w:color w:val="000000"/>
          <w:sz w:val="32"/>
          <w:szCs w:val="32"/>
        </w:rPr>
        <w:t>（项）99：</w:t>
      </w:r>
      <w:r>
        <w:rPr>
          <w:rFonts w:hint="eastAsia" w:ascii="仿宋_GB2312" w:eastAsia="仿宋_GB2312"/>
          <w:color w:val="auto"/>
          <w:sz w:val="32"/>
          <w:szCs w:val="32"/>
          <w:lang w:eastAsia="zh-CN"/>
        </w:rPr>
        <w:t>反映除上诉项目以外</w:t>
      </w:r>
      <w:r>
        <w:rPr>
          <w:rFonts w:hint="eastAsia" w:ascii="仿宋_GB2312" w:eastAsia="仿宋_GB2312"/>
          <w:color w:val="auto"/>
          <w:sz w:val="32"/>
          <w:szCs w:val="32"/>
          <w:lang w:val="en-US" w:eastAsia="zh-CN"/>
        </w:rPr>
        <w:t>的其他一般公共服务支出。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auto"/>
          <w:sz w:val="32"/>
          <w:szCs w:val="32"/>
          <w:lang w:val="en-US" w:eastAsia="zh-CN"/>
        </w:rPr>
        <w:t>12.</w:t>
      </w:r>
      <w:r>
        <w:rPr>
          <w:rFonts w:hint="eastAsia" w:ascii="仿宋_GB2312" w:eastAsia="仿宋_GB2312"/>
          <w:color w:val="000000"/>
          <w:sz w:val="32"/>
          <w:szCs w:val="32"/>
          <w:lang w:eastAsia="zh-CN"/>
        </w:rPr>
        <w:t>公共安全支出（类）</w:t>
      </w:r>
      <w:r>
        <w:rPr>
          <w:rFonts w:hint="eastAsia" w:ascii="仿宋_GB2312" w:eastAsia="仿宋_GB2312"/>
          <w:color w:val="000000"/>
          <w:sz w:val="32"/>
          <w:szCs w:val="32"/>
          <w:lang w:val="en-US" w:eastAsia="zh-CN"/>
        </w:rPr>
        <w:t>204国家安全（款）03</w:t>
      </w:r>
      <w:r>
        <w:rPr>
          <w:rFonts w:hint="eastAsia" w:ascii="仿宋_GB2312" w:eastAsia="仿宋_GB2312"/>
          <w:color w:val="000000"/>
          <w:sz w:val="32"/>
          <w:szCs w:val="32"/>
        </w:rPr>
        <w:t>其他国家安全支出（项）99：指反映用于安全方面的支出。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208行政事业单位养老支出（款）05行政单位离退休</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1：反映行政单位开支的离退休经费</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208行政事业单位养老支出（款）05</w:t>
      </w:r>
      <w:r>
        <w:rPr>
          <w:rFonts w:hint="eastAsia" w:ascii="仿宋_GB2312" w:eastAsia="仿宋_GB2312"/>
          <w:color w:val="000000"/>
          <w:sz w:val="32"/>
          <w:szCs w:val="32"/>
        </w:rPr>
        <w:t>机关事业单位基本养老保险缴费支出（项）05：指反映机关事业单位实施养老保险制度由单位缴纳的基本养老保险费支出。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208行政事业单位养老支出（款）05</w:t>
      </w:r>
      <w:r>
        <w:rPr>
          <w:rFonts w:hint="eastAsia" w:ascii="仿宋_GB2312" w:eastAsia="仿宋_GB2312"/>
          <w:color w:val="000000"/>
          <w:sz w:val="32"/>
          <w:szCs w:val="32"/>
        </w:rPr>
        <w:t>机关事业单位职业年金缴费支出（项）06：指反映机关事业单位实施养老保险制度由单位实际缴纳的职业年金支出。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卫生健康支出</w:t>
      </w:r>
      <w:r>
        <w:rPr>
          <w:rFonts w:hint="eastAsia" w:ascii="仿宋_GB2312" w:eastAsia="仿宋_GB2312"/>
          <w:color w:val="000000"/>
          <w:sz w:val="32"/>
          <w:szCs w:val="32"/>
          <w:lang w:eastAsia="zh-CN"/>
        </w:rPr>
        <w:t>（类）</w:t>
      </w:r>
      <w:r>
        <w:rPr>
          <w:rFonts w:hint="eastAsia" w:ascii="仿宋_GB2312" w:eastAsia="仿宋_GB2312"/>
          <w:color w:val="000000"/>
          <w:sz w:val="32"/>
          <w:szCs w:val="32"/>
          <w:lang w:val="en-US" w:eastAsia="zh-CN"/>
        </w:rPr>
        <w:t>210行政事业单位医疗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11行政事业单位医疗（项）01</w:t>
      </w:r>
      <w:r>
        <w:rPr>
          <w:rFonts w:hint="eastAsia" w:ascii="仿宋_GB2312" w:eastAsia="仿宋_GB2312"/>
          <w:color w:val="000000"/>
          <w:sz w:val="32"/>
          <w:szCs w:val="32"/>
        </w:rPr>
        <w:t>：</w:t>
      </w:r>
      <w:r>
        <w:rPr>
          <w:rFonts w:hint="eastAsia" w:ascii="仿宋_GB2312" w:eastAsia="仿宋_GB2312"/>
          <w:color w:val="auto"/>
          <w:sz w:val="32"/>
          <w:szCs w:val="32"/>
        </w:rPr>
        <w:t>指反映</w:t>
      </w:r>
      <w:r>
        <w:rPr>
          <w:rFonts w:hint="eastAsia" w:ascii="仿宋_GB2312" w:eastAsia="仿宋_GB2312"/>
          <w:color w:val="000000"/>
          <w:sz w:val="32"/>
          <w:szCs w:val="32"/>
        </w:rPr>
        <w:t>财政部门集中安排的行政单位</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包括实行公务员管理事业单位，下同）</w:t>
      </w:r>
      <w:r>
        <w:rPr>
          <w:rFonts w:hint="eastAsia" w:ascii="仿宋_GB2312" w:eastAsia="仿宋_GB2312"/>
          <w:color w:val="000000"/>
          <w:sz w:val="32"/>
          <w:szCs w:val="32"/>
        </w:rPr>
        <w:t>基本医疗保险缴费经费，未参加医疗保险的行政单位的公费医疗经费，按国家规定享受离休人员</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红军老战士</w:t>
      </w:r>
      <w:r>
        <w:rPr>
          <w:rFonts w:hint="eastAsia" w:ascii="仿宋_GB2312" w:eastAsia="仿宋_GB2312"/>
          <w:color w:val="000000"/>
          <w:sz w:val="32"/>
          <w:szCs w:val="32"/>
        </w:rPr>
        <w:t>待遇的医疗</w:t>
      </w:r>
      <w:r>
        <w:rPr>
          <w:rFonts w:hint="eastAsia" w:ascii="仿宋_GB2312" w:eastAsia="仿宋_GB2312"/>
          <w:color w:val="000000"/>
          <w:sz w:val="32"/>
          <w:szCs w:val="32"/>
          <w:lang w:val="en-US" w:eastAsia="zh-CN"/>
        </w:rPr>
        <w:t>经费</w:t>
      </w:r>
      <w:r>
        <w:rPr>
          <w:rFonts w:hint="eastAsia" w:ascii="仿宋_GB2312" w:eastAsia="仿宋_GB2312"/>
          <w:color w:val="000000"/>
          <w:sz w:val="32"/>
          <w:szCs w:val="32"/>
        </w:rPr>
        <w:t>。</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17.城乡社区支出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2城乡社区环境卫生</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05城乡社区环境卫生</w:t>
      </w:r>
      <w:r>
        <w:rPr>
          <w:rFonts w:hint="eastAsia" w:ascii="仿宋_GB2312" w:eastAsia="仿宋_GB2312"/>
          <w:color w:val="000000"/>
          <w:sz w:val="32"/>
          <w:szCs w:val="32"/>
        </w:rPr>
        <w:t>（项）01：</w:t>
      </w:r>
      <w:r>
        <w:rPr>
          <w:rFonts w:hint="eastAsia" w:ascii="仿宋_GB2312" w:eastAsia="仿宋_GB2312"/>
          <w:color w:val="000000"/>
          <w:sz w:val="32"/>
          <w:szCs w:val="32"/>
          <w:lang w:eastAsia="zh-CN"/>
        </w:rPr>
        <w:t>反映城乡社区道路清扫、垃圾清运与处理、公厕建设与维护、园林绿化等方面的支出。</w:t>
      </w:r>
      <w:r>
        <w:rPr>
          <w:rFonts w:hint="eastAsia" w:ascii="仿宋_GB2312" w:eastAsia="仿宋_GB2312"/>
          <w:color w:val="000000"/>
          <w:sz w:val="32"/>
          <w:szCs w:val="32"/>
          <w:lang w:val="en-US" w:eastAsia="zh-CN"/>
        </w:rPr>
        <w:t>。</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000000"/>
          <w:sz w:val="32"/>
          <w:szCs w:val="32"/>
          <w:lang w:val="en-US" w:eastAsia="zh-CN"/>
        </w:rPr>
        <w:t>18.城乡社区支出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2国有土地使用权出让收入安排的支出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08其他国有土地使用权出让收入安排的支出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w:t>
      </w:r>
      <w:r>
        <w:rPr>
          <w:rFonts w:hint="eastAsia" w:ascii="仿宋_GB2312" w:eastAsia="仿宋_GB2312"/>
          <w:color w:val="auto"/>
          <w:sz w:val="32"/>
          <w:szCs w:val="32"/>
          <w:lang w:eastAsia="zh-CN"/>
        </w:rPr>
        <w:t>反映</w:t>
      </w:r>
      <w:r>
        <w:rPr>
          <w:rFonts w:hint="eastAsia" w:ascii="仿宋_GB2312" w:eastAsia="仿宋_GB2312"/>
          <w:color w:val="auto"/>
          <w:sz w:val="32"/>
          <w:szCs w:val="32"/>
          <w:lang w:val="en-US" w:eastAsia="zh-CN"/>
        </w:rPr>
        <w:t>土地出让收入用于其他方面的</w:t>
      </w:r>
      <w:r>
        <w:rPr>
          <w:rFonts w:hint="eastAsia" w:ascii="仿宋_GB2312" w:eastAsia="仿宋_GB2312"/>
          <w:color w:val="auto"/>
          <w:sz w:val="32"/>
          <w:szCs w:val="32"/>
          <w:lang w:eastAsia="zh-CN"/>
        </w:rPr>
        <w:t>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农业</w:t>
      </w:r>
      <w:r>
        <w:rPr>
          <w:rFonts w:hint="eastAsia" w:ascii="仿宋_GB2312" w:eastAsia="仿宋_GB2312"/>
          <w:color w:val="000000"/>
          <w:sz w:val="32"/>
          <w:szCs w:val="32"/>
          <w:lang w:val="en-US" w:eastAsia="zh-CN"/>
        </w:rPr>
        <w:t>农村</w:t>
      </w:r>
      <w:r>
        <w:rPr>
          <w:rFonts w:hint="eastAsia" w:ascii="仿宋_GB2312" w:eastAsia="仿宋_GB2312"/>
          <w:color w:val="000000"/>
          <w:sz w:val="32"/>
          <w:szCs w:val="32"/>
        </w:rPr>
        <w:t>（款）01病虫害控制（项）08：反映用于病虫鼠害及疫情监测、预报、预防、控制、检疫、防疫所需的仪器、设施、药物、疫苗、种苗，疫畜防治、扑杀补偿及劳务补助、菌（毒）种保藏及动植物及其产品检疫、检测等方面的支出。</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农业</w:t>
      </w:r>
      <w:r>
        <w:rPr>
          <w:rFonts w:hint="eastAsia" w:ascii="仿宋_GB2312" w:eastAsia="仿宋_GB2312"/>
          <w:color w:val="000000"/>
          <w:sz w:val="32"/>
          <w:szCs w:val="32"/>
          <w:lang w:val="en-US" w:eastAsia="zh-CN"/>
        </w:rPr>
        <w:t>农村</w:t>
      </w:r>
      <w:r>
        <w:rPr>
          <w:rFonts w:hint="eastAsia" w:ascii="仿宋_GB2312" w:eastAsia="仿宋_GB2312"/>
          <w:color w:val="000000"/>
          <w:sz w:val="32"/>
          <w:szCs w:val="32"/>
        </w:rPr>
        <w:t>（款）01</w:t>
      </w:r>
      <w:r>
        <w:rPr>
          <w:rFonts w:hint="eastAsia" w:ascii="仿宋_GB2312" w:eastAsia="仿宋_GB2312"/>
          <w:color w:val="000000"/>
          <w:sz w:val="32"/>
          <w:szCs w:val="32"/>
          <w:lang w:val="en-US" w:eastAsia="zh-CN"/>
        </w:rPr>
        <w:t>其他农业农村支出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99：反映上述项目外其他用于农业农村方面的支出。</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水利</w:t>
      </w:r>
      <w:r>
        <w:rPr>
          <w:rFonts w:hint="eastAsia" w:ascii="仿宋_GB2312" w:eastAsia="仿宋_GB2312"/>
          <w:color w:val="000000"/>
          <w:sz w:val="32"/>
          <w:szCs w:val="32"/>
        </w:rPr>
        <w:t>（款）03防汛（项）14：反映防汛业务支出。</w:t>
      </w:r>
      <w:r>
        <w:rPr>
          <w:rFonts w:hint="eastAsia" w:ascii="仿宋_GB2312" w:eastAsia="仿宋_GB2312"/>
          <w:color w:val="000000"/>
          <w:sz w:val="32"/>
          <w:szCs w:val="32"/>
          <w:lang w:eastAsia="zh-CN"/>
        </w:rPr>
        <w:t>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农村综合改革</w:t>
      </w:r>
      <w:r>
        <w:rPr>
          <w:rFonts w:hint="eastAsia" w:ascii="仿宋_GB2312" w:eastAsia="仿宋_GB2312"/>
          <w:color w:val="000000"/>
          <w:sz w:val="32"/>
          <w:szCs w:val="32"/>
        </w:rPr>
        <w:t>（款）07对村民委员会和村党支部的补助（项）05：反映各级财政对村民委员会和村党支部的补助支出，以及支持建立县级基本财力保障机制安排的村级组织运转奖补资金。</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（类）221</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（款）02住房公积金（项）01：指反映行政事业单位按人力资源和社会保障部、财政部规定的基本工资和津贴补贴以及规定比例为职工缴纳的住房公积金。</w:t>
      </w:r>
    </w:p>
    <w:p>
      <w:pPr>
        <w:pStyle w:val="2"/>
        <w:ind w:left="0" w:leftChars="0"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国有资本经营预算收入</w:t>
      </w:r>
      <w:r>
        <w:rPr>
          <w:rFonts w:hint="eastAsia" w:ascii="仿宋_GB2312" w:eastAsia="仿宋_GB2312"/>
          <w:color w:val="000000"/>
          <w:sz w:val="32"/>
          <w:szCs w:val="32"/>
        </w:rPr>
        <w:t>（类）22</w:t>
      </w:r>
      <w:r>
        <w:rPr>
          <w:rFonts w:hint="eastAsia" w:ascii="仿宋_GB2312" w:eastAsia="仿宋_GB2312"/>
          <w:color w:val="000000"/>
          <w:sz w:val="32"/>
          <w:szCs w:val="32"/>
          <w:lang w:val="en-US" w:eastAsia="zh-CN"/>
        </w:rPr>
        <w:t>3解决历史遗留问题及改革成本</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01国有企业退休人员社会化管理补助支出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：指反映</w:t>
      </w:r>
      <w:r>
        <w:rPr>
          <w:rFonts w:hint="eastAsia" w:ascii="仿宋_GB2312" w:eastAsia="仿宋_GB2312"/>
          <w:color w:val="000000"/>
          <w:sz w:val="32"/>
          <w:szCs w:val="32"/>
          <w:lang w:val="en-US" w:eastAsia="zh-CN"/>
        </w:rPr>
        <w:t>用国有资本经营预算收入安排的国有企业退休人员移交社区实行社会化管理的支出</w:t>
      </w:r>
      <w:r>
        <w:rPr>
          <w:rFonts w:hint="eastAsia" w:ascii="仿宋_GB2312" w:eastAsia="仿宋_GB2312"/>
          <w:color w:val="000000"/>
          <w:sz w:val="32"/>
          <w:szCs w:val="32"/>
        </w:rPr>
        <w:t>。</w:t>
      </w:r>
    </w:p>
    <w:p>
      <w:pPr>
        <w:pStyle w:val="2"/>
        <w:ind w:left="0" w:leftChars="0" w:firstLine="640" w:firstLineChars="200"/>
        <w:rPr>
          <w:rFonts w:hint="eastAsia" w:ascii="仿宋_GB2312" w:eastAsia="仿宋_GB2312"/>
          <w:color w:val="000000"/>
          <w:sz w:val="32"/>
          <w:szCs w:val="32"/>
          <w:lang w:val="en-US" w:eastAsia="zh-CN"/>
        </w:rPr>
      </w:pPr>
      <w:r>
        <w:rPr>
          <w:rFonts w:hint="eastAsia" w:ascii="仿宋_GB2312" w:eastAsia="仿宋_GB2312"/>
          <w:color w:val="auto"/>
          <w:sz w:val="32"/>
          <w:szCs w:val="32"/>
          <w:lang w:val="en-US" w:eastAsia="zh-CN"/>
        </w:rPr>
        <w:t>25.</w:t>
      </w:r>
      <w:r>
        <w:rPr>
          <w:rFonts w:hint="eastAsia" w:ascii="仿宋" w:hAnsi="仿宋" w:eastAsia="仿宋" w:cs="仿宋"/>
          <w:color w:val="000000"/>
          <w:sz w:val="32"/>
          <w:szCs w:val="32"/>
          <w:lang w:val="en-US" w:eastAsia="zh-CN"/>
        </w:rPr>
        <w:t>应急防治及应急管理支出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w:t>
      </w:r>
      <w:r>
        <w:rPr>
          <w:rFonts w:hint="eastAsia" w:ascii="仿宋_GB2312" w:eastAsia="仿宋_GB2312"/>
          <w:color w:val="000000"/>
          <w:sz w:val="32"/>
          <w:szCs w:val="32"/>
          <w:lang w:val="en-US" w:eastAsia="zh-CN"/>
        </w:rPr>
        <w:t>应急管理事务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01应急救援</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08：反映安全生产、自然灾害应急救援反面支出。</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26.</w:t>
      </w:r>
      <w:r>
        <w:rPr>
          <w:rFonts w:hint="eastAsia" w:ascii="仿宋" w:hAnsi="仿宋" w:eastAsia="仿宋" w:cs="仿宋"/>
          <w:color w:val="000000"/>
          <w:sz w:val="32"/>
          <w:szCs w:val="32"/>
          <w:lang w:val="en-US" w:eastAsia="zh-CN"/>
        </w:rPr>
        <w:t>应急防治及应急管理支出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w:t>
      </w:r>
      <w:r>
        <w:rPr>
          <w:rFonts w:hint="eastAsia" w:ascii="仿宋_GB2312" w:eastAsia="仿宋_GB2312"/>
          <w:color w:val="000000"/>
          <w:sz w:val="32"/>
          <w:szCs w:val="32"/>
          <w:lang w:val="en-US" w:eastAsia="zh-CN"/>
        </w:rPr>
        <w:t>应急管理事务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default" w:ascii="仿宋_GB2312" w:eastAsia="仿宋_GB2312"/>
          <w:color w:val="000000"/>
          <w:sz w:val="32"/>
          <w:szCs w:val="32"/>
          <w:lang w:eastAsia="zh-CN"/>
        </w:rPr>
        <w:t>其他应急管理支出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99：反映上述项目以外其他应急管理反面的支出。</w:t>
      </w:r>
    </w:p>
    <w:p>
      <w:pPr>
        <w:pStyle w:val="2"/>
        <w:ind w:left="0" w:leftChars="0" w:firstLine="0" w:firstLineChars="0"/>
        <w:rPr>
          <w:rFonts w:hint="eastAsia" w:ascii="仿宋_GB2312" w:eastAsia="仿宋_GB2312"/>
          <w:color w:val="000000"/>
          <w:sz w:val="32"/>
          <w:szCs w:val="32"/>
          <w:lang w:val="en-US" w:eastAsia="zh-CN"/>
        </w:rPr>
      </w:pPr>
      <w:r>
        <w:rPr>
          <w:rFonts w:hint="eastAsia"/>
          <w:lang w:val="en-US" w:eastAsia="zh-CN"/>
        </w:rPr>
        <w:t xml:space="preserve">     </w:t>
      </w:r>
      <w:r>
        <w:rPr>
          <w:rFonts w:hint="eastAsia" w:ascii="仿宋_GB2312" w:eastAsia="仿宋_GB2312"/>
          <w:color w:val="000000"/>
          <w:sz w:val="32"/>
          <w:szCs w:val="32"/>
          <w:lang w:val="en-US" w:eastAsia="zh-CN"/>
        </w:rPr>
        <w:t>27.</w:t>
      </w:r>
      <w:r>
        <w:rPr>
          <w:rFonts w:hint="eastAsia" w:ascii="仿宋" w:hAnsi="仿宋" w:eastAsia="仿宋" w:cs="仿宋"/>
          <w:color w:val="000000"/>
          <w:sz w:val="32"/>
          <w:szCs w:val="32"/>
          <w:lang w:val="en-US" w:eastAsia="zh-CN"/>
        </w:rPr>
        <w:t>应急防治及应急管理支出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w:t>
      </w:r>
      <w:r>
        <w:rPr>
          <w:rFonts w:hint="eastAsia" w:ascii="仿宋_GB2312" w:eastAsia="仿宋_GB2312"/>
          <w:color w:val="000000"/>
          <w:sz w:val="32"/>
          <w:szCs w:val="32"/>
          <w:lang w:val="en-US" w:eastAsia="zh-CN"/>
        </w:rPr>
        <w:t>自然灾害救灾及恢复重建支出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07自然灾害救灾补助</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03：反映用于重大自然灾害应急救援和受灾群众救灾的支出。</w:t>
      </w:r>
    </w:p>
    <w:p>
      <w:pPr>
        <w:pStyle w:val="2"/>
        <w:ind w:left="0" w:leftChars="0"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28.</w:t>
      </w:r>
      <w:r>
        <w:rPr>
          <w:rFonts w:hint="eastAsia" w:ascii="仿宋" w:hAnsi="仿宋" w:eastAsia="仿宋" w:cs="仿宋"/>
          <w:color w:val="000000"/>
          <w:sz w:val="32"/>
          <w:szCs w:val="32"/>
          <w:lang w:val="en-US" w:eastAsia="zh-CN"/>
        </w:rPr>
        <w:t>其他支出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229彩票公益事业安排的</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60用于体育事业的彩票公益金支出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03：反映体育事业彩票公益金支出。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 xml:space="preserve">.项目支出：指在基本支出之外为完成特定行政任务和事业发展目标所发生的支出。 </w:t>
      </w:r>
    </w:p>
    <w:p>
      <w:pPr>
        <w:ind w:firstLine="640" w:firstLineChars="200"/>
        <w:rPr>
          <w:rFonts w:ascii="仿宋_GB2312" w:eastAsia="仿宋_GB2312"/>
          <w:color w:val="auto"/>
          <w:sz w:val="32"/>
          <w:szCs w:val="32"/>
          <w:highlight w:val="none"/>
        </w:rPr>
      </w:pPr>
      <w:r>
        <w:rPr>
          <w:rFonts w:hint="eastAsia" w:ascii="仿宋_GB2312" w:eastAsia="仿宋_GB2312"/>
          <w:color w:val="000000"/>
          <w:sz w:val="32"/>
          <w:szCs w:val="32"/>
          <w:highlight w:val="none"/>
          <w:lang w:val="en-US" w:eastAsia="zh-CN"/>
        </w:rPr>
        <w:t>31</w:t>
      </w:r>
      <w:r>
        <w:rPr>
          <w:rFonts w:hint="eastAsia" w:ascii="仿宋_GB2312" w:eastAsia="仿宋_GB2312"/>
          <w:color w:val="000000"/>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32.</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Style w:val="28"/>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宋体"/>
          <w:b/>
          <w:color w:val="auto"/>
          <w:sz w:val="44"/>
          <w:szCs w:val="44"/>
          <w:highlight w:val="none"/>
          <w:lang w:val="en-US" w:eastAsia="zh-CN"/>
        </w:rPr>
        <w:t xml:space="preserve">           </w:t>
      </w: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52"/>
    </w:p>
    <w:p>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bookmarkStart w:id="53" w:name="_Toc15396618"/>
      <w:r>
        <w:rPr>
          <w:rFonts w:hint="eastAsia" w:ascii="宋体" w:hAnsi="宋体" w:eastAsia="宋体" w:cs="宋体"/>
          <w:color w:val="auto"/>
          <w:kern w:val="0"/>
          <w:sz w:val="32"/>
          <w:szCs w:val="32"/>
          <w:highlight w:val="none"/>
          <w:lang w:val="en-US" w:eastAsia="zh-CN" w:bidi="ar-SA"/>
        </w:rPr>
        <w:t>部门预算项目支出绩效自评表（2022年度）</w:t>
      </w: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
        <w:gridCol w:w="771"/>
        <w:gridCol w:w="1216"/>
        <w:gridCol w:w="2659"/>
        <w:gridCol w:w="438"/>
        <w:gridCol w:w="771"/>
        <w:gridCol w:w="438"/>
        <w:gridCol w:w="605"/>
        <w:gridCol w:w="383"/>
        <w:gridCol w:w="383"/>
        <w:gridCol w:w="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51088922T000004771451-袁家坝党建经费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保障办事处党建、统战工作正常开展，贯彻落实上级部门的部署要求。</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完成目标任务已完成，无资金结余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支付党建日常广告费、宣传费等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购置彩色打印机数量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设备利用率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党建知识知晓率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宣传力度有待加强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51088922T000004795597-袁家坝纪委工作经费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保障纪检监察工作正常运行，加大监督力度，营造风清气正的政治生态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完成目标任务已完成，无资金结余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支付纪委办案费、广告费等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审查案件次数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案件限时办结率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案件办理时限达标率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办案效率有待提高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办案人员被投诉次数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投诉举报处置率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51088922T000004795640-袁家坝防汛经费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完成河长制公示牌更新，开展汛前安全专项检查及汛期安全动态查看</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完成项目目标，无资金结余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开展河湖管理宣传，完成河长制公示牌更新，开展汛前安全专项检查及汛期安全动态查看，加强汛期值班值守，确保安全度汛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防汛值班天数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河流公示牌更新维护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值班人员在岗率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重大洪灾事故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项目已完成，确保确保安全度过汛期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51088922T000004795876-袁家坝应急管理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加大安全、森林防火检查和知识的宣传</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支付安全、森林防火等宣传费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森林防火宣传活动次数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宣传次数不足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森林防火安全检查覆盖率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险情反应时间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重大安全事故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51088922T000004795919-袁家坝综治工作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办事处信访、维稳、防邪、禁毒、扫黑除恶宣传等日常工作正常运行，保障辖区社会稳定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办事处信访、维稳、防邪、禁毒、扫黑除恶宣传等日常工作正常运行支出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值班天数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信访举报办结率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信访办结率有待提高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重大群体事件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确保了综治工资日常工作正常运行，保障辖区社会稳定。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51088922T000004795957-袁家坝城乡环境卫生整治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保障辖区及周边环境质量得到切实改善，辖区内环境质量得到逐步改善，民众满意度上升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支付辖区内环境卫生整治费用，集中整治6次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集中整治次数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抽查覆盖率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检查优良率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加班费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未有加班费支出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环境保护宣传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整治劳务费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垃圾处置及时率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51088922T000004795983-袁家坝畜禽防疫工作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保障农科项目日常办公工作正常运行，春秋两季防疫消毒物品，宣传畜禽防疫知识等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支付畜禽防疫宣传费、差旅费等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春秋两季防疫消毒次数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宣传畜禽防疫知识次数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强制免疫病种接种率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接种率有待提高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重大疫情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51088922T000004796004-袁家坝干部培训费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保障办事处干部职工日常培训费用。提高干部职工队伍的整体素质，强化学习，不断为基层培养更多的干部队伍，保障党的基层组织建设不断创新发展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支付干部培训费、差旅费等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参加培训班次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干部培训时间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参加培训人次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培训计划完成率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干部参训率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干部业务水平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干部业务水平有待提高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51088922T000004796012-袁家坝公务应急车辆运行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保障办事处党政机关公务用车应急需要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支付机关应急用车油费、维修费等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车辆正常运行率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应急用车保障率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51088922T000004796099-袁家坝伙食团补助经费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提高食堂服务水平，为办事处工作顺利开展提供后勤保障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支付机关食堂购买蔬菜肉类等费用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卫生检查合格率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工作人员就餐率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餐余垃圾处理率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就餐职工满意度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51088922T000004796118-铝产业园指挥部经费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建设铝产业园区，招商引资产业项目30个，工业技改项目12个，完成目标并落地建设，促进园区发展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支付铝产业园指挥部日常支出，及广告费、差旅费等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完成招商引资项目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项目建设质量达标率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办公差旅费用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招商引资费用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固定资产投资增长率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新增就业岗位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新增就业岗位未达标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固定资产投资规模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51088922T000005350106-袁家坝工程类支出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完成办事处项目工程款、中介费等的兑付</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完成目标任务，资金无结余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兑付办事处工程款、中介费支出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兑付施工企业数量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兑付工程款及中介费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滑坡灾害治理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营商环境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满意度有待提高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51088922T000006582080-袁家坝地灾应急项目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完成上石村二组堡坎垮塌整治和覃家梁三组郑家崖滑坡治理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支付办事处工程款上石村二组堡坎垮塌整治和覃家梁三组郑家崖滑坡治理工程款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地质滑坡事件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涉及辖区居民满意度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群众满意度有待提高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51088922T000007247450-袁家坝拆迁项目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确保辖区各村社2021年青苗款及时支付到位，拆迁项目工作顺利开展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支付办事处2022年青苗款、拆迁资金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798.78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798.78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798.78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798.78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拆迁项目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及时支付率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完成拆迁项目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辖区安置人员满意度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安置对象满意率有待提高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51088922T000007298432-袁家坝园区配套设施建设项目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袁家坝园区配套设施建设项目惠及辖区企业50余家，职工3000余人。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完成辖区第三停车场建设及嘉陵社区广场建设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按时按需完成配套设施建设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满足辖区企业、职工工作生活需要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辖区企业职工及居民满意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51088922T000007308832-袁家坝办事处办公楼搬迁新增办公设备采购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袁家坝办事处，铝产业攻坚指挥部办公楼搬迁，按时按需进行改造及办公设备采购，文化氛围打造</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指挥部及办事处采购办公设备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按时按需进行改造及办公设备采购，文化氛围打造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确保正常开展工作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51088923T000008267307-袁家坝抗旱救灾资金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对石盘社区和上石村两处提灌站维修治理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对石盘社区和上石村两处提灌站维修治理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涉及村社个数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完成提灌站维修率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涉及村社农作物生长率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完成农作物灌溉率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辖区群众满意率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51088923T000008796563-袁家坝体育中心建设项目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广元经济技术开发区袁家坝办事处部门</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广元经济技术开发区袁家坝办事处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完成袁家坝体育中心建设项目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项目已完成，无结余资金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支付袁家坝体育场建设项目资金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完成1个体育场建设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足球场、篮球场出租率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该项目规划科学，项目管理规范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仿宋_GB2312" w:hAnsi="Calibri" w:eastAsia="仿宋_GB2312" w:cs="仿宋"/>
          <w:color w:val="auto"/>
          <w:kern w:val="0"/>
          <w:sz w:val="32"/>
          <w:szCs w:val="32"/>
          <w:highlight w:val="none"/>
          <w:lang w:val="en-US" w:eastAsia="zh-CN" w:bidi="ar-SA"/>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黑体" w:hAnsi="黑体" w:eastAsia="黑体"/>
          <w:color w:val="auto"/>
          <w:sz w:val="44"/>
          <w:szCs w:val="44"/>
          <w:highlight w:val="none"/>
        </w:rPr>
      </w:pPr>
    </w:p>
    <w:p>
      <w:pPr>
        <w:spacing w:line="600" w:lineRule="exact"/>
        <w:ind w:firstLine="2640" w:firstLineChars="600"/>
        <w:jc w:val="both"/>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51"/>
      <w:bookmarkEnd w:id="53"/>
      <w:bookmarkStart w:id="54" w:name="_Toc15396619"/>
    </w:p>
    <w:p>
      <w:pPr>
        <w:pStyle w:val="5"/>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54"/>
    </w:p>
    <w:p>
      <w:pPr>
        <w:pStyle w:val="5"/>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55"/>
    </w:p>
    <w:p>
      <w:pPr>
        <w:pStyle w:val="5"/>
        <w:rPr>
          <w:rFonts w:ascii="仿宋" w:hAnsi="仿宋" w:eastAsia="仿宋"/>
          <w:color w:val="auto"/>
          <w:highlight w:val="none"/>
        </w:rPr>
      </w:pPr>
      <w:bookmarkStart w:id="56"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56"/>
    </w:p>
    <w:p>
      <w:pPr>
        <w:pStyle w:val="5"/>
        <w:rPr>
          <w:rFonts w:ascii="仿宋" w:hAnsi="仿宋" w:eastAsia="仿宋"/>
          <w:b w:val="0"/>
          <w:color w:val="auto"/>
          <w:highlight w:val="none"/>
        </w:rPr>
      </w:pPr>
      <w:bookmarkStart w:id="57"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57"/>
    </w:p>
    <w:p>
      <w:pPr>
        <w:pStyle w:val="5"/>
        <w:rPr>
          <w:rStyle w:val="29"/>
          <w:rFonts w:ascii="仿宋" w:hAnsi="仿宋" w:eastAsia="仿宋"/>
          <w:b w:val="0"/>
          <w:bCs w:val="0"/>
          <w:color w:val="auto"/>
          <w:highlight w:val="none"/>
        </w:rPr>
      </w:pPr>
      <w:bookmarkStart w:id="58"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58"/>
      <w:bookmarkStart w:id="59" w:name="_Toc15396624"/>
    </w:p>
    <w:p>
      <w:pPr>
        <w:pStyle w:val="5"/>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59"/>
    </w:p>
    <w:p>
      <w:pPr>
        <w:pStyle w:val="5"/>
        <w:rPr>
          <w:rFonts w:ascii="仿宋" w:hAnsi="仿宋" w:eastAsia="仿宋"/>
          <w:color w:val="auto"/>
          <w:highlight w:val="none"/>
        </w:rPr>
      </w:pPr>
      <w:bookmarkStart w:id="60"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60"/>
    </w:p>
    <w:p>
      <w:pPr>
        <w:pStyle w:val="5"/>
        <w:rPr>
          <w:rFonts w:ascii="仿宋" w:hAnsi="仿宋" w:eastAsia="仿宋"/>
          <w:color w:val="auto"/>
          <w:highlight w:val="none"/>
        </w:rPr>
      </w:pPr>
      <w:bookmarkStart w:id="61"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61"/>
    </w:p>
    <w:p>
      <w:pPr>
        <w:pStyle w:val="5"/>
        <w:rPr>
          <w:rFonts w:ascii="仿宋" w:hAnsi="仿宋" w:eastAsia="仿宋"/>
          <w:color w:val="auto"/>
          <w:highlight w:val="none"/>
        </w:rPr>
      </w:pPr>
      <w:bookmarkStart w:id="62"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62"/>
    </w:p>
    <w:p>
      <w:pPr>
        <w:pStyle w:val="5"/>
        <w:rPr>
          <w:rFonts w:ascii="仿宋" w:hAnsi="仿宋" w:eastAsia="仿宋"/>
          <w:color w:val="auto"/>
          <w:highlight w:val="none"/>
        </w:rPr>
      </w:pPr>
      <w:bookmarkStart w:id="63" w:name="_Toc15396628"/>
      <w:r>
        <w:rPr>
          <w:rStyle w:val="29"/>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p>
    <w:p>
      <w:pPr>
        <w:pStyle w:val="5"/>
        <w:rPr>
          <w:rFonts w:ascii="仿宋" w:hAnsi="仿宋" w:eastAsia="仿宋"/>
          <w:color w:val="auto"/>
          <w:highlight w:val="none"/>
        </w:rPr>
      </w:pPr>
      <w:bookmarkStart w:id="64" w:name="_Toc15396629"/>
      <w:r>
        <w:rPr>
          <w:rStyle w:val="29"/>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p>
    <w:p>
      <w:pPr>
        <w:pStyle w:val="5"/>
        <w:rPr>
          <w:rFonts w:ascii="仿宋" w:hAnsi="仿宋" w:eastAsia="仿宋"/>
          <w:color w:val="auto"/>
          <w:highlight w:val="none"/>
        </w:rPr>
      </w:pPr>
      <w:bookmarkStart w:id="65" w:name="_Toc15396630"/>
      <w:r>
        <w:rPr>
          <w:rStyle w:val="29"/>
          <w:rFonts w:hint="eastAsia" w:ascii="仿宋" w:hAnsi="仿宋" w:eastAsia="仿宋"/>
          <w:b w:val="0"/>
          <w:bCs w:val="0"/>
          <w:color w:val="auto"/>
          <w:highlight w:val="none"/>
        </w:rPr>
        <w:t>十二、</w:t>
      </w:r>
      <w:bookmarkEnd w:id="65"/>
      <w:r>
        <w:rPr>
          <w:rStyle w:val="29"/>
          <w:rFonts w:hint="eastAsia" w:ascii="仿宋" w:hAnsi="仿宋" w:eastAsia="仿宋"/>
          <w:b w:val="0"/>
          <w:bCs w:val="0"/>
          <w:color w:val="auto"/>
          <w:highlight w:val="none"/>
          <w:lang w:eastAsia="zh-CN"/>
        </w:rPr>
        <w:t>国有资本经营预算财政拨款支出决算表</w:t>
      </w:r>
    </w:p>
    <w:p>
      <w:pPr>
        <w:pStyle w:val="5"/>
        <w:rPr>
          <w:rFonts w:hint="eastAsia" w:eastAsia="仿宋"/>
          <w:color w:val="auto"/>
          <w:highlight w:val="none"/>
          <w:lang w:eastAsia="zh-CN"/>
        </w:rPr>
      </w:pPr>
      <w:bookmarkStart w:id="66" w:name="_Toc15396631"/>
      <w:r>
        <w:rPr>
          <w:rStyle w:val="29"/>
          <w:rFonts w:hint="eastAsia" w:ascii="仿宋" w:hAnsi="仿宋" w:eastAsia="仿宋"/>
          <w:b w:val="0"/>
          <w:bCs w:val="0"/>
          <w:color w:val="auto"/>
          <w:highlight w:val="none"/>
        </w:rPr>
        <w:t>十三、</w:t>
      </w:r>
      <w:bookmarkEnd w:id="66"/>
      <w:r>
        <w:rPr>
          <w:rStyle w:val="29"/>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850" w:right="1800" w:bottom="850" w:left="1800"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pPr>
        <w:ind w:left="210"/>
      </w:pPr>
      <w:rPr>
        <w:rFonts w:hint="eastAsia"/>
      </w:rPr>
    </w:lvl>
  </w:abstractNum>
  <w:abstractNum w:abstractNumId="4">
    <w:nsid w:val="57C3C401"/>
    <w:multiLevelType w:val="singleLevel"/>
    <w:tmpl w:val="57C3C401"/>
    <w:lvl w:ilvl="0" w:tentative="0">
      <w:start w:val="1"/>
      <w:numFmt w:val="chineseCounting"/>
      <w:suff w:val="nothing"/>
      <w:lvlText w:val="（%1）"/>
      <w:lvlJc w:val="left"/>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MjMzNTllNzkxMGJjYTc5MmMxNjFlNjE4Y2Y3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112B18"/>
    <w:rsid w:val="053A62B5"/>
    <w:rsid w:val="05CC3EBD"/>
    <w:rsid w:val="0A2032A3"/>
    <w:rsid w:val="0B3C58AA"/>
    <w:rsid w:val="0B8A37D8"/>
    <w:rsid w:val="0EDF5220"/>
    <w:rsid w:val="107E1C03"/>
    <w:rsid w:val="10A828B6"/>
    <w:rsid w:val="10C055FF"/>
    <w:rsid w:val="118107EC"/>
    <w:rsid w:val="11DD6519"/>
    <w:rsid w:val="15F52A45"/>
    <w:rsid w:val="16BB723D"/>
    <w:rsid w:val="17FA257E"/>
    <w:rsid w:val="18015F3F"/>
    <w:rsid w:val="1BE8440E"/>
    <w:rsid w:val="1D155CEE"/>
    <w:rsid w:val="20F57F95"/>
    <w:rsid w:val="22504FC7"/>
    <w:rsid w:val="22FF7F67"/>
    <w:rsid w:val="240371BF"/>
    <w:rsid w:val="25711CC6"/>
    <w:rsid w:val="25C741E6"/>
    <w:rsid w:val="25D521DA"/>
    <w:rsid w:val="27842671"/>
    <w:rsid w:val="29100474"/>
    <w:rsid w:val="29FD04D3"/>
    <w:rsid w:val="2ABE7A3E"/>
    <w:rsid w:val="2CA234A8"/>
    <w:rsid w:val="2EB70B76"/>
    <w:rsid w:val="2EFA178C"/>
    <w:rsid w:val="30625D65"/>
    <w:rsid w:val="30B46D73"/>
    <w:rsid w:val="319F7F4E"/>
    <w:rsid w:val="34746356"/>
    <w:rsid w:val="34C77A4B"/>
    <w:rsid w:val="37286D8F"/>
    <w:rsid w:val="383D272C"/>
    <w:rsid w:val="39AE70AB"/>
    <w:rsid w:val="3A104898"/>
    <w:rsid w:val="3C0C0783"/>
    <w:rsid w:val="3F9F3A96"/>
    <w:rsid w:val="40BE4710"/>
    <w:rsid w:val="48BF60AB"/>
    <w:rsid w:val="493C27E9"/>
    <w:rsid w:val="496F39ED"/>
    <w:rsid w:val="49FF41D3"/>
    <w:rsid w:val="4BA0670F"/>
    <w:rsid w:val="4BE068DB"/>
    <w:rsid w:val="4BF6002B"/>
    <w:rsid w:val="4ECE2238"/>
    <w:rsid w:val="51DB4B86"/>
    <w:rsid w:val="55333C3E"/>
    <w:rsid w:val="5AF70979"/>
    <w:rsid w:val="5C8C2A1A"/>
    <w:rsid w:val="5ED03A93"/>
    <w:rsid w:val="6354042E"/>
    <w:rsid w:val="64CA39A1"/>
    <w:rsid w:val="664569B8"/>
    <w:rsid w:val="68734169"/>
    <w:rsid w:val="69630ADE"/>
    <w:rsid w:val="6C4A05C8"/>
    <w:rsid w:val="6D3B1A89"/>
    <w:rsid w:val="6EF3ED1E"/>
    <w:rsid w:val="6F0364AD"/>
    <w:rsid w:val="6FBA02AE"/>
    <w:rsid w:val="6FDC4566"/>
    <w:rsid w:val="71852303"/>
    <w:rsid w:val="71BF4EC2"/>
    <w:rsid w:val="72734D90"/>
    <w:rsid w:val="7412278C"/>
    <w:rsid w:val="74BD1EF2"/>
    <w:rsid w:val="76F4F0B3"/>
    <w:rsid w:val="780229E0"/>
    <w:rsid w:val="79E7B28D"/>
    <w:rsid w:val="7BFE282B"/>
    <w:rsid w:val="7F7C5F81"/>
    <w:rsid w:val="7F9F20EE"/>
    <w:rsid w:val="93F36A4F"/>
    <w:rsid w:val="9E3A10E2"/>
    <w:rsid w:val="ABFE2CA7"/>
    <w:rsid w:val="AFDF4F64"/>
    <w:rsid w:val="BAEF25B8"/>
    <w:rsid w:val="EEBF484C"/>
    <w:rsid w:val="EFFF50E8"/>
    <w:rsid w:val="F2E1F9D4"/>
    <w:rsid w:val="F3EF6A5B"/>
    <w:rsid w:val="F7880819"/>
    <w:rsid w:val="FFFB84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after="120" w:afterLines="0"/>
      <w:ind w:left="420" w:leftChars="200"/>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eastAsia="仿宋"/>
      <w:kern w:val="0"/>
      <w:sz w:val="32"/>
    </w:r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收支决算总计（万元）</a:t>
            </a:r>
          </a:p>
        </c:rich>
      </c:tx>
      <c:layout/>
      <c:overlay val="0"/>
      <c:spPr>
        <a:noFill/>
        <a:ln>
          <a:noFill/>
        </a:ln>
        <a:effectLst/>
      </c:spPr>
    </c:title>
    <c:autoTitleDeleted val="0"/>
    <c:plotArea>
      <c:layout>
        <c:manualLayout>
          <c:layoutTarget val="inner"/>
          <c:xMode val="edge"/>
          <c:yMode val="edge"/>
          <c:x val="0.07495"/>
          <c:y val="0.137"/>
          <c:w val="0.8938"/>
          <c:h val="0.7924"/>
        </c:manualLayout>
      </c:layout>
      <c:barChart>
        <c:barDir val="col"/>
        <c:grouping val="clustered"/>
        <c:varyColors val="0"/>
        <c:ser>
          <c:idx val="0"/>
          <c:order val="0"/>
          <c:tx>
            <c:strRef>
              <c:f>Sheet1!$B$1</c:f>
              <c:strCache>
                <c:ptCount val="1"/>
                <c:pt idx="0">
                  <c:v>系列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2021年收入支出决算总计</c:v>
                </c:pt>
                <c:pt idx="1">
                  <c:v>2022年收入支出决算总计</c:v>
                </c:pt>
              </c:strCache>
            </c:strRef>
          </c:cat>
          <c:val>
            <c:numRef>
              <c:f>Sheet1!$B$2:$B$3</c:f>
              <c:numCache>
                <c:formatCode>General</c:formatCode>
                <c:ptCount val="2"/>
                <c:pt idx="0">
                  <c:v>1144.39</c:v>
                </c:pt>
                <c:pt idx="1">
                  <c:v>1912.76</c:v>
                </c:pt>
              </c:numCache>
            </c:numRef>
          </c:val>
        </c:ser>
        <c:ser>
          <c:idx val="1"/>
          <c:order val="1"/>
          <c:tx>
            <c:strRef>
              <c:f>Sheet1!#REF!</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2021年收入支出决算总计</c:v>
                </c:pt>
                <c:pt idx="1">
                  <c:v>2022年收入支出决算总计</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2021年收入支出决算总计</c:v>
                </c:pt>
                <c:pt idx="1">
                  <c:v>2022年收入支出决算总计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65"/>
        <c:overlap val="0"/>
        <c:axId val="159512124"/>
        <c:axId val="456226928"/>
      </c:barChart>
      <c:catAx>
        <c:axId val="159512124"/>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56226928"/>
        <c:crosses val="autoZero"/>
        <c:auto val="1"/>
        <c:lblAlgn val="ctr"/>
        <c:lblOffset val="100"/>
        <c:noMultiLvlLbl val="0"/>
      </c:catAx>
      <c:valAx>
        <c:axId val="4562269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5951212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年本年收入</a:t>
            </a:r>
            <a:r>
              <a:rPr lang="en-US" altLang="zh-CN"/>
              <a:t>(</a:t>
            </a:r>
            <a:r>
              <a:rPr altLang="zh-CN"/>
              <a:t>万元</a:t>
            </a:r>
            <a:r>
              <a:rPr lang="en-US" altLang="zh-CN"/>
              <a:t>)</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国有资本经营预算财政拨款收入</c:v>
                </c:pt>
              </c:strCache>
            </c:strRef>
          </c:cat>
          <c:val>
            <c:numRef>
              <c:f>Sheet1!$B$2:$B$4</c:f>
              <c:numCache>
                <c:formatCode>General</c:formatCode>
                <c:ptCount val="3"/>
                <c:pt idx="0">
                  <c:v>1063.94</c:v>
                </c:pt>
                <c:pt idx="1">
                  <c:v>848.78</c:v>
                </c:pt>
                <c:pt idx="2">
                  <c:v>0.003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22</a:t>
            </a:r>
            <a:r>
              <a:t>年本年支出（万元）</a:t>
            </a:r>
          </a:p>
        </c:rich>
      </c:tx>
      <c:layout/>
      <c:overlay val="0"/>
      <c:spPr>
        <a:noFill/>
        <a:ln>
          <a:noFill/>
        </a:ln>
        <a:effectLst/>
      </c:spPr>
    </c:title>
    <c:autoTitleDeleted val="0"/>
    <c:plotArea>
      <c:layout/>
      <c:pieChart>
        <c:varyColors val="1"/>
        <c:ser>
          <c:idx val="0"/>
          <c:order val="0"/>
          <c:tx>
            <c:strRef>
              <c:f>Sheet1!$B$1</c:f>
              <c:strCache>
                <c:ptCount val="1"/>
                <c:pt idx="0">
                  <c:v>2022年本年支出（万元）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1342.49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570.27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项目支出</c:v>
                </c:pt>
                <c:pt idx="1">
                  <c:v>基本支出</c:v>
                </c:pt>
              </c:strCache>
            </c:strRef>
          </c:cat>
          <c:val>
            <c:numRef>
              <c:f>Sheet1!$B$2:$B$3</c:f>
              <c:numCache>
                <c:formatCode>#,##0.00</c:formatCode>
                <c:ptCount val="2"/>
                <c:pt idx="0">
                  <c:v>1432.49</c:v>
                </c:pt>
                <c:pt idx="1">
                  <c:v>570.27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财政拨款收支决算总计（万元）</a:t>
            </a:r>
          </a:p>
        </c:rich>
      </c:tx>
      <c:layout/>
      <c:overlay val="0"/>
      <c:spPr>
        <a:noFill/>
        <a:ln>
          <a:noFill/>
        </a:ln>
        <a:effectLst/>
      </c:spPr>
    </c:title>
    <c:autoTitleDeleted val="0"/>
    <c:plotArea>
      <c:layout>
        <c:manualLayout>
          <c:layoutTarget val="inner"/>
          <c:xMode val="edge"/>
          <c:yMode val="edge"/>
          <c:x val="0.07495"/>
          <c:y val="0.138331870708424"/>
          <c:w val="0.8938"/>
          <c:h val="0.7924"/>
        </c:manualLayout>
      </c:layout>
      <c:barChart>
        <c:barDir val="col"/>
        <c:grouping val="clustered"/>
        <c:varyColors val="0"/>
        <c:ser>
          <c:idx val="0"/>
          <c:order val="0"/>
          <c:tx>
            <c:strRef>
              <c:f>Sheet1!$B$1</c:f>
              <c:strCache>
                <c:ptCount val="1"/>
                <c:pt idx="0">
                  <c:v>系列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2021年收入支出决算总计</c:v>
                </c:pt>
                <c:pt idx="1">
                  <c:v>2022年收入支出决算总计</c:v>
                </c:pt>
              </c:strCache>
            </c:strRef>
          </c:cat>
          <c:val>
            <c:numRef>
              <c:f>Sheet1!$B$2:$B$3</c:f>
              <c:numCache>
                <c:formatCode>General</c:formatCode>
                <c:ptCount val="2"/>
                <c:pt idx="0">
                  <c:v>1144.39</c:v>
                </c:pt>
                <c:pt idx="1">
                  <c:v>1912.76</c:v>
                </c:pt>
              </c:numCache>
            </c:numRef>
          </c:val>
        </c:ser>
        <c:ser>
          <c:idx val="1"/>
          <c:order val="1"/>
          <c:tx>
            <c:strRef>
              <c:f>Sheet1!#REF!</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2021年收入支出决算总计</c:v>
                </c:pt>
                <c:pt idx="1">
                  <c:v>2022年收入支出决算总计</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2021年收入支出决算总计</c:v>
                </c:pt>
                <c:pt idx="1">
                  <c:v>2022年收入支出决算总计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65"/>
        <c:overlap val="0"/>
        <c:axId val="159512124"/>
        <c:axId val="456226928"/>
      </c:barChart>
      <c:catAx>
        <c:axId val="159512124"/>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56226928"/>
        <c:crosses val="autoZero"/>
        <c:auto val="1"/>
        <c:lblAlgn val="ctr"/>
        <c:lblOffset val="100"/>
        <c:noMultiLvlLbl val="0"/>
      </c:catAx>
      <c:valAx>
        <c:axId val="4562269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5951212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一般公共预算财政拨款支出决算总计（万元）</a:t>
            </a:r>
          </a:p>
        </c:rich>
      </c:tx>
      <c:layout/>
      <c:overlay val="0"/>
      <c:spPr>
        <a:noFill/>
        <a:ln>
          <a:noFill/>
        </a:ln>
        <a:effectLst/>
      </c:spPr>
    </c:title>
    <c:autoTitleDeleted val="0"/>
    <c:plotArea>
      <c:layout>
        <c:manualLayout>
          <c:layoutTarget val="inner"/>
          <c:xMode val="edge"/>
          <c:yMode val="edge"/>
          <c:x val="0.0555749999999999"/>
          <c:y val="0.0931133143527047"/>
          <c:w val="0.8938"/>
          <c:h val="0.7924"/>
        </c:manualLayout>
      </c:layout>
      <c:barChart>
        <c:barDir val="col"/>
        <c:grouping val="clustered"/>
        <c:varyColors val="0"/>
        <c:ser>
          <c:idx val="0"/>
          <c:order val="0"/>
          <c:tx>
            <c:strRef>
              <c:f>Sheet1!$B$1</c:f>
              <c:strCache>
                <c:ptCount val="1"/>
                <c:pt idx="0">
                  <c:v>系列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2021年支出决算总计</c:v>
                </c:pt>
                <c:pt idx="1">
                  <c:v>2022年支出决算总计</c:v>
                </c:pt>
              </c:strCache>
            </c:strRef>
          </c:cat>
          <c:val>
            <c:numRef>
              <c:f>Sheet1!$B$2:$B$3</c:f>
              <c:numCache>
                <c:formatCode>General</c:formatCode>
                <c:ptCount val="2"/>
                <c:pt idx="0">
                  <c:v>1144.39</c:v>
                </c:pt>
                <c:pt idx="1">
                  <c:v>1063.94</c:v>
                </c:pt>
              </c:numCache>
            </c:numRef>
          </c:val>
        </c:ser>
        <c:ser>
          <c:idx val="1"/>
          <c:order val="1"/>
          <c:tx>
            <c:strRef>
              <c:f>Sheet1!#REF!</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2021年支出决算总计</c:v>
                </c:pt>
                <c:pt idx="1">
                  <c:v>2022年支出决算总计</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2021年支出决算总计</c:v>
                </c:pt>
                <c:pt idx="1">
                  <c:v>2022年支出决算总计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65"/>
        <c:overlap val="0"/>
        <c:axId val="159512124"/>
        <c:axId val="456226928"/>
      </c:barChart>
      <c:catAx>
        <c:axId val="159512124"/>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56226928"/>
        <c:crosses val="autoZero"/>
        <c:auto val="1"/>
        <c:lblAlgn val="ctr"/>
        <c:lblOffset val="100"/>
        <c:noMultiLvlLbl val="0"/>
      </c:catAx>
      <c:valAx>
        <c:axId val="4562269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5951212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manualLayout>
          <c:xMode val="edge"/>
          <c:yMode val="edge"/>
          <c:x val="0.29483492733125"/>
          <c:y val="0.0147021468684488"/>
        </c:manualLayout>
      </c:layout>
      <c:overlay val="0"/>
      <c:spPr>
        <a:noFill/>
        <a:ln>
          <a:noFill/>
        </a:ln>
        <a:effectLst/>
      </c:spPr>
    </c:title>
    <c:autoTitleDeleted val="0"/>
    <c:plotArea>
      <c:layout>
        <c:manualLayout>
          <c:layoutTarget val="inner"/>
          <c:xMode val="edge"/>
          <c:yMode val="edge"/>
          <c:x val="0.290975323149236"/>
          <c:y val="0.158169386169386"/>
          <c:w val="0.418049353701528"/>
          <c:h val="0.608136752136752"/>
        </c:manualLayout>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1"/>
              <c:layout>
                <c:manualLayout>
                  <c:x val="0.0530441001123828"/>
                  <c:y val="-0.01064317672051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06145677211758"/>
                  <c:y val="0.002160512099340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668083679737389"/>
                  <c:y val="-0.029667754742024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48299435725757"/>
                  <c:y val="-0.009448067523669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337639287015442"/>
                  <c:y val="-0.013657329314558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一般公共服务支出</c:v>
                </c:pt>
                <c:pt idx="1">
                  <c:v>公共安全支出</c:v>
                </c:pt>
                <c:pt idx="2">
                  <c:v>社会保障和就业支出</c:v>
                </c:pt>
                <c:pt idx="3">
                  <c:v>卫生健康支出</c:v>
                </c:pt>
                <c:pt idx="4">
                  <c:v>城乡社区支出</c:v>
                </c:pt>
                <c:pt idx="5">
                  <c:v>农林水支出</c:v>
                </c:pt>
                <c:pt idx="6">
                  <c:v>住房保障支出</c:v>
                </c:pt>
                <c:pt idx="7">
                  <c:v>灾害防治及应急管理支出</c:v>
                </c:pt>
              </c:strCache>
            </c:strRef>
          </c:cat>
          <c:val>
            <c:numRef>
              <c:f>Sheet1!$B$2:$B$9</c:f>
              <c:numCache>
                <c:formatCode>0.00%</c:formatCode>
                <c:ptCount val="8"/>
                <c:pt idx="0">
                  <c:v>0.484</c:v>
                </c:pt>
                <c:pt idx="1">
                  <c:v>0.0075</c:v>
                </c:pt>
                <c:pt idx="2">
                  <c:v>0.0464</c:v>
                </c:pt>
                <c:pt idx="3">
                  <c:v>0.0131</c:v>
                </c:pt>
                <c:pt idx="4">
                  <c:v>0.0047</c:v>
                </c:pt>
                <c:pt idx="5">
                  <c:v>0.4032</c:v>
                </c:pt>
                <c:pt idx="6">
                  <c:v>0.0261</c:v>
                </c:pt>
                <c:pt idx="7">
                  <c:v>0.015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altLang="en-US"/>
              <a:t>年本年收入</a:t>
            </a:r>
            <a:r>
              <a:rPr lang="en-US" altLang="zh-CN"/>
              <a:t>(</a:t>
            </a:r>
            <a:r>
              <a:rPr altLang="zh-CN"/>
              <a:t>万元</a:t>
            </a:r>
            <a:r>
              <a:rPr lang="en-US" altLang="zh-CN"/>
              <a:t>)</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因公出国（境）支出</c:v>
                </c:pt>
                <c:pt idx="1">
                  <c:v>公务用车购置及运行维护费支出</c:v>
                </c:pt>
                <c:pt idx="2">
                  <c:v>公务接待费支出</c:v>
                </c:pt>
              </c:strCache>
            </c:strRef>
          </c:cat>
          <c:val>
            <c:numRef>
              <c:f>Sheet1!$B$2:$B$4</c:f>
              <c:numCache>
                <c:formatCode>General</c:formatCode>
                <c:ptCount val="3"/>
                <c:pt idx="0">
                  <c:v>0</c:v>
                </c:pt>
                <c:pt idx="1">
                  <c:v>0</c:v>
                </c:pt>
                <c:pt idx="2">
                  <c:v>0.95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四川省财政厅</Company>
  <Pages>54</Pages>
  <Words>16543</Words>
  <Characters>19497</Characters>
  <Lines>61</Lines>
  <Paragraphs>17</Paragraphs>
  <TotalTime>29</TotalTime>
  <ScaleCrop>false</ScaleCrop>
  <LinksUpToDate>false</LinksUpToDate>
  <CharactersWithSpaces>19626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Administrator</cp:lastModifiedBy>
  <cp:lastPrinted>2023-07-31T18:35:00Z</cp:lastPrinted>
  <dcterms:modified xsi:type="dcterms:W3CDTF">2023-10-17T03:24:48Z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C62D68549059420C99BE06F62B5F0144</vt:lpwstr>
  </property>
</Properties>
</file>