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方正小标宋简体" w:hAnsi="宋体" w:eastAsia="方正小标宋简体"/>
          <w:color w:val="000000" w:themeColor="text1"/>
          <w:sz w:val="44"/>
          <w:szCs w:val="44"/>
          <w:highlight w:val="none"/>
          <w14:textFill>
            <w14:solidFill>
              <w14:schemeClr w14:val="tx1"/>
            </w14:solidFill>
          </w14:textFill>
        </w:rPr>
      </w:pPr>
      <w:bookmarkStart w:id="0" w:name="_Toc365"/>
      <w:bookmarkStart w:id="1" w:name="_Toc15378442"/>
      <w:bookmarkStart w:id="2" w:name="_Toc15396476"/>
      <w:bookmarkStart w:id="3" w:name="_Toc15396598"/>
      <w:bookmarkStart w:id="4" w:name="_Toc15377194"/>
      <w:bookmarkStart w:id="5" w:name="_Toc15377426"/>
      <w:bookmarkStart w:id="6" w:name="_Toc15377196"/>
      <w:bookmarkStart w:id="7" w:name="_Toc15396599"/>
      <w:r>
        <w:rPr>
          <w:rFonts w:hint="default" w:ascii="方正小标宋简体" w:hAnsi="宋体" w:eastAsia="方正小标宋简体"/>
          <w:color w:val="000000" w:themeColor="text1"/>
          <w:sz w:val="44"/>
          <w:szCs w:val="44"/>
          <w:highlight w:val="none"/>
          <w14:textFill>
            <w14:solidFill>
              <w14:schemeClr w14:val="tx1"/>
            </w14:solidFill>
          </w14:textFill>
        </w:rPr>
        <w:t>2022年</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olor w:val="000000" w:themeColor="text1"/>
          <w:sz w:val="44"/>
          <w:szCs w:val="44"/>
          <w:highlight w:val="none"/>
          <w14:textFill>
            <w14:solidFill>
              <w14:schemeClr w14:val="tx1"/>
            </w14:solidFill>
          </w14:textFill>
        </w:rPr>
        <w:t>四川省广元市</w:t>
      </w:r>
      <w:bookmarkStart w:id="8" w:name="_Toc15306268"/>
      <w:r>
        <w:rPr>
          <w:rFonts w:hint="eastAsia" w:ascii="方正小标宋简体" w:hAnsi="宋体" w:eastAsia="方正小标宋简体"/>
          <w:color w:val="000000" w:themeColor="text1"/>
          <w:sz w:val="44"/>
          <w:szCs w:val="44"/>
          <w:highlight w:val="none"/>
          <w14:textFill>
            <w14:solidFill>
              <w14:schemeClr w14:val="tx1"/>
            </w14:solidFill>
          </w14:textFill>
        </w:rPr>
        <w:t>广元经济技术开发区</w:t>
      </w:r>
      <w:bookmarkEnd w:id="0"/>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宋体" w:eastAsia="方正小标宋简体"/>
          <w:color w:val="000000" w:themeColor="text1"/>
          <w:sz w:val="44"/>
          <w:szCs w:val="44"/>
          <w:highlight w:val="none"/>
          <w14:textFill>
            <w14:solidFill>
              <w14:schemeClr w14:val="tx1"/>
            </w14:solidFill>
          </w14:textFill>
        </w:rPr>
      </w:pPr>
      <w:bookmarkStart w:id="9" w:name="_Toc18794"/>
      <w:r>
        <w:rPr>
          <w:rFonts w:hint="eastAsia" w:ascii="方正小标宋简体" w:hAnsi="宋体" w:eastAsia="方正小标宋简体"/>
          <w:color w:val="000000" w:themeColor="text1"/>
          <w:sz w:val="44"/>
          <w:szCs w:val="44"/>
          <w:highlight w:val="none"/>
          <w14:textFill>
            <w14:solidFill>
              <w14:schemeClr w14:val="tx1"/>
            </w14:solidFill>
          </w14:textFill>
        </w:rPr>
        <w:t>管理委员会</w:t>
      </w:r>
      <w:r>
        <w:rPr>
          <w:rFonts w:hint="eastAsia" w:ascii="方正小标宋简体" w:hAnsi="宋体" w:eastAsia="方正小标宋简体"/>
          <w:color w:val="000000" w:themeColor="text1"/>
          <w:sz w:val="44"/>
          <w:szCs w:val="44"/>
          <w:highlight w:val="none"/>
          <w:lang w:eastAsia="zh-CN"/>
          <w14:textFill>
            <w14:solidFill>
              <w14:schemeClr w14:val="tx1"/>
            </w14:solidFill>
          </w14:textFill>
        </w:rPr>
        <w:t>单位</w:t>
      </w:r>
      <w:r>
        <w:rPr>
          <w:rFonts w:hint="eastAsia" w:ascii="方正小标宋简体" w:hAnsi="宋体" w:eastAsia="方正小标宋简体"/>
          <w:color w:val="000000" w:themeColor="text1"/>
          <w:sz w:val="44"/>
          <w:szCs w:val="44"/>
          <w:highlight w:val="none"/>
          <w14:textFill>
            <w14:solidFill>
              <w14:schemeClr w14:val="tx1"/>
            </w14:solidFill>
          </w14:textFill>
        </w:rPr>
        <w:t>决算</w:t>
      </w:r>
      <w:bookmarkEnd w:id="1"/>
      <w:bookmarkEnd w:id="2"/>
      <w:bookmarkEnd w:id="3"/>
      <w:bookmarkEnd w:id="4"/>
      <w:bookmarkEnd w:id="5"/>
      <w:bookmarkEnd w:id="8"/>
      <w:bookmarkEnd w:id="9"/>
    </w:p>
    <w:p>
      <w:pPr>
        <w:pStyle w:val="26"/>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9"/>
        <w:rPr>
          <w:rFonts w:hint="eastAsia" w:ascii="方正隶书简体" w:hAnsi="方正隶书简体" w:eastAsia="方正隶书简体" w:cs="方正隶书简体"/>
          <w:color w:val="000000" w:themeColor="text1"/>
          <w:sz w:val="100"/>
          <w:szCs w:val="10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1500" w:lineRule="exact"/>
        <w:jc w:val="center"/>
        <w:textAlignment w:val="auto"/>
        <w:outlineLvl w:val="0"/>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pPr>
      <w:bookmarkStart w:id="10" w:name="_Toc3844"/>
      <w:r>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t>编</w:t>
      </w:r>
      <w:bookmarkEnd w:id="10"/>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1500" w:lineRule="exact"/>
        <w:jc w:val="center"/>
        <w:textAlignment w:val="auto"/>
        <w:outlineLvl w:val="0"/>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pPr>
      <w:bookmarkStart w:id="11" w:name="_Toc14965"/>
      <w:r>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t>制</w:t>
      </w:r>
      <w:bookmarkEnd w:id="11"/>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1500" w:lineRule="exact"/>
        <w:jc w:val="center"/>
        <w:textAlignment w:val="auto"/>
        <w:outlineLvl w:val="0"/>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pPr>
      <w:bookmarkStart w:id="12" w:name="_Toc1175"/>
      <w:r>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t>说</w:t>
      </w:r>
      <w:bookmarkEnd w:id="12"/>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1500" w:lineRule="exact"/>
        <w:ind w:left="0" w:leftChars="0"/>
        <w:jc w:val="center"/>
        <w:textAlignment w:val="auto"/>
        <w:outlineLvl w:val="0"/>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pPr>
      <w:bookmarkStart w:id="13" w:name="_Toc15682"/>
      <w:r>
        <w:rPr>
          <w:rFonts w:hint="eastAsia" w:ascii="方正隶书简体" w:hAnsi="方正隶书简体" w:eastAsia="方正隶书简体" w:cs="方正隶书简体"/>
          <w:color w:val="000000" w:themeColor="text1"/>
          <w:sz w:val="110"/>
          <w:szCs w:val="110"/>
          <w:highlight w:val="none"/>
          <w14:textFill>
            <w14:solidFill>
              <w14:schemeClr w14:val="tx1"/>
            </w14:solidFill>
          </w14:textFill>
        </w:rPr>
        <w:t>明</w:t>
      </w:r>
      <w:bookmarkEnd w:id="13"/>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黑体" w:hAnsi="黑体" w:eastAsia="黑体" w:cs="黑体"/>
          <w:color w:val="000000" w:themeColor="text1"/>
          <w:sz w:val="36"/>
          <w:szCs w:val="36"/>
          <w:highlight w:val="none"/>
          <w14:textFill>
            <w14:solidFill>
              <w14:schemeClr w14:val="tx1"/>
            </w14:solidFill>
          </w14:textFill>
        </w:rPr>
      </w:pPr>
      <w:bookmarkStart w:id="14" w:name="_Toc15396475"/>
      <w:bookmarkStart w:id="15" w:name="_Toc15377425"/>
      <w:bookmarkStart w:id="16" w:name="_Toc15378441"/>
      <w:bookmarkStart w:id="17" w:name="_Toc15377193"/>
      <w:bookmarkStart w:id="18" w:name="_Toc15396597"/>
    </w:p>
    <w:bookmarkEnd w:id="14"/>
    <w:bookmarkEnd w:id="15"/>
    <w:bookmarkEnd w:id="16"/>
    <w:bookmarkEnd w:id="17"/>
    <w:bookmarkEnd w:id="18"/>
    <w:p>
      <w:pPr>
        <w:rPr>
          <w:rFonts w:hint="eastAsia"/>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outlineLvl w:val="0"/>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bookmarkStart w:id="19" w:name="_Toc21978"/>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目</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录</w:t>
      </w:r>
      <w:bookmarkEnd w:id="19"/>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公开时间：</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2023年10月8日</w:t>
      </w:r>
    </w:p>
    <w:sdt>
      <w:sdtPr>
        <w:rPr>
          <w:rFonts w:ascii="宋体" w:hAnsi="宋体" w:eastAsia="宋体" w:cs="Times New Roman"/>
          <w:kern w:val="2"/>
          <w:sz w:val="21"/>
          <w:szCs w:val="24"/>
          <w:lang w:val="en-US" w:eastAsia="zh-CN" w:bidi="ar-SA"/>
        </w:rPr>
        <w:id w:val="147468479"/>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pP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ind w:left="0" w:leftChars="0" w:firstLine="0" w:firstLineChars="0"/>
            <w:textAlignment w:val="auto"/>
            <w:rPr>
              <w:b/>
            </w:rPr>
          </w:pPr>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_Toc26787 </w:instrText>
          </w:r>
          <w:r>
            <w:rPr>
              <w:rFonts w:hint="eastAsia"/>
              <w:b/>
            </w:rPr>
            <w:fldChar w:fldCharType="separate"/>
          </w:r>
          <w:r>
            <w:rPr>
              <w:rFonts w:hint="eastAsia" w:ascii="方正小标宋简体" w:hAnsi="方正小标宋简体" w:eastAsia="方正小标宋简体" w:cs="方正小标宋简体"/>
              <w:b/>
              <w:highlight w:val="none"/>
            </w:rPr>
            <w:t xml:space="preserve">第一部分 </w:t>
          </w:r>
          <w:r>
            <w:rPr>
              <w:rFonts w:hint="eastAsia" w:ascii="方正小标宋简体" w:hAnsi="方正小标宋简体" w:eastAsia="方正小标宋简体" w:cs="方正小标宋简体"/>
              <w:b/>
              <w:highlight w:val="none"/>
              <w:lang w:val="en-US" w:eastAsia="zh-CN"/>
            </w:rPr>
            <w:t xml:space="preserve"> 部门</w:t>
          </w:r>
          <w:r>
            <w:rPr>
              <w:rFonts w:hint="eastAsia" w:ascii="方正小标宋简体" w:hAnsi="方正小标宋简体" w:eastAsia="方正小标宋简体" w:cs="方正小标宋简体"/>
              <w:b/>
              <w:bCs w:val="0"/>
              <w:highlight w:val="none"/>
            </w:rPr>
            <w:t>概况</w:t>
          </w:r>
          <w:r>
            <w:rPr>
              <w:b/>
            </w:rPr>
            <w:tab/>
          </w:r>
          <w:r>
            <w:rPr>
              <w:b/>
            </w:rPr>
            <w:fldChar w:fldCharType="begin"/>
          </w:r>
          <w:r>
            <w:rPr>
              <w:b/>
            </w:rPr>
            <w:instrText xml:space="preserve"> PAGEREF _Toc26787 \h </w:instrText>
          </w:r>
          <w:r>
            <w:rPr>
              <w:b/>
            </w:rPr>
            <w:fldChar w:fldCharType="separate"/>
          </w:r>
          <w:r>
            <w:rPr>
              <w:b/>
            </w:rPr>
            <w:t>1</w:t>
          </w:r>
          <w:r>
            <w:rPr>
              <w:b/>
            </w:rPr>
            <w:fldChar w:fldCharType="end"/>
          </w:r>
          <w:r>
            <w:rPr>
              <w:rFonts w:hint="eastAsia"/>
              <w:b/>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_Toc9749 </w:instrText>
          </w:r>
          <w:r>
            <w:rPr>
              <w:rFonts w:hint="eastAsia"/>
            </w:rPr>
            <w:fldChar w:fldCharType="separate"/>
          </w:r>
          <w:r>
            <w:rPr>
              <w:rFonts w:hint="eastAsia" w:ascii="黑体" w:hAnsi="黑体" w:eastAsia="黑体" w:cs="黑体"/>
              <w:highlight w:val="none"/>
            </w:rPr>
            <w:t>一、</w:t>
          </w:r>
          <w:r>
            <w:rPr>
              <w:rFonts w:hint="eastAsia" w:ascii="黑体" w:hAnsi="黑体" w:eastAsia="黑体" w:cs="黑体"/>
              <w:highlight w:val="none"/>
              <w:lang w:eastAsia="zh-CN"/>
            </w:rPr>
            <w:t>部门职责</w:t>
          </w:r>
          <w:r>
            <w:tab/>
          </w:r>
          <w:r>
            <w:fldChar w:fldCharType="begin"/>
          </w:r>
          <w:r>
            <w:instrText xml:space="preserve"> PAGEREF _Toc9749 \h </w:instrText>
          </w:r>
          <w:r>
            <w:fldChar w:fldCharType="separate"/>
          </w:r>
          <w:r>
            <w:t>1</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_Toc23856 </w:instrText>
          </w:r>
          <w:r>
            <w:rPr>
              <w:rFonts w:hint="eastAsia"/>
            </w:rPr>
            <w:fldChar w:fldCharType="separate"/>
          </w:r>
          <w:r>
            <w:rPr>
              <w:rFonts w:hint="eastAsia" w:ascii="黑体" w:hAnsi="黑体" w:eastAsia="黑体" w:cs="黑体"/>
              <w:szCs w:val="32"/>
              <w:highlight w:val="none"/>
            </w:rPr>
            <w:t>二、机</w:t>
          </w:r>
          <w:r>
            <w:rPr>
              <w:rFonts w:hint="eastAsia" w:ascii="黑体" w:hAnsi="黑体" w:eastAsia="黑体" w:cs="黑体"/>
              <w:bCs w:val="0"/>
              <w:szCs w:val="32"/>
              <w:highlight w:val="none"/>
            </w:rPr>
            <w:t>构设置</w:t>
          </w:r>
          <w:r>
            <w:tab/>
          </w:r>
          <w:r>
            <w:fldChar w:fldCharType="begin"/>
          </w:r>
          <w:r>
            <w:instrText xml:space="preserve"> PAGEREF _Toc23856 \h </w:instrText>
          </w:r>
          <w:r>
            <w:fldChar w:fldCharType="separate"/>
          </w:r>
          <w:r>
            <w:t>1</w:t>
          </w:r>
          <w:r>
            <w:fldChar w:fldCharType="end"/>
          </w:r>
          <w:r>
            <w:rPr>
              <w:rFonts w:hint="eastAsia"/>
            </w:rPr>
            <w:fldChar w:fldCharType="end"/>
          </w:r>
        </w:p>
        <w:p>
          <w:pPr>
            <w:pStyle w:val="46"/>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_Toc4664 </w:instrText>
          </w:r>
          <w:r>
            <w:rPr>
              <w:rFonts w:hint="eastAsia"/>
              <w:b/>
            </w:rPr>
            <w:fldChar w:fldCharType="separate"/>
          </w:r>
          <w:r>
            <w:rPr>
              <w:rFonts w:hint="eastAsia" w:ascii="方正小标宋简体" w:hAnsi="方正小标宋简体" w:eastAsia="方正小标宋简体" w:cs="方正小标宋简体"/>
              <w:b/>
              <w:szCs w:val="44"/>
              <w:highlight w:val="none"/>
            </w:rPr>
            <w:t>第二部分</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大标宋简体" w:hAnsi="方正大标宋简体" w:eastAsia="方正大标宋简体" w:cs="方正大标宋简体"/>
              <w:b/>
              <w:bCs w:val="0"/>
              <w:szCs w:val="44"/>
              <w:highlight w:val="none"/>
            </w:rPr>
            <w:t>20</w:t>
          </w:r>
          <w:r>
            <w:rPr>
              <w:rFonts w:hint="eastAsia" w:ascii="方正大标宋简体" w:hAnsi="方正大标宋简体" w:eastAsia="方正大标宋简体" w:cs="方正大标宋简体"/>
              <w:b/>
              <w:bCs w:val="0"/>
              <w:szCs w:val="44"/>
              <w:highlight w:val="none"/>
              <w:lang w:val="en-US" w:eastAsia="zh-CN"/>
            </w:rPr>
            <w:t>22</w:t>
          </w:r>
          <w:r>
            <w:rPr>
              <w:rFonts w:hint="eastAsia" w:ascii="方正小标宋简体" w:hAnsi="方正小标宋简体" w:eastAsia="方正小标宋简体" w:cs="方正小标宋简体"/>
              <w:b/>
              <w:bCs w:val="0"/>
              <w:szCs w:val="44"/>
              <w:highlight w:val="none"/>
            </w:rPr>
            <w:t>年度</w:t>
          </w:r>
          <w:r>
            <w:rPr>
              <w:rFonts w:hint="eastAsia" w:ascii="方正小标宋简体" w:hAnsi="方正小标宋简体" w:eastAsia="方正小标宋简体" w:cs="方正小标宋简体"/>
              <w:b/>
              <w:bCs w:val="0"/>
              <w:szCs w:val="44"/>
              <w:highlight w:val="none"/>
              <w:lang w:eastAsia="zh-CN"/>
            </w:rPr>
            <w:t>单位</w:t>
          </w:r>
          <w:r>
            <w:rPr>
              <w:rFonts w:hint="eastAsia" w:ascii="方正小标宋简体" w:hAnsi="方正小标宋简体" w:eastAsia="方正小标宋简体" w:cs="方正小标宋简体"/>
              <w:b/>
              <w:bCs w:val="0"/>
              <w:szCs w:val="44"/>
              <w:highlight w:val="none"/>
            </w:rPr>
            <w:t>决算情况说明</w:t>
          </w:r>
          <w:r>
            <w:rPr>
              <w:b/>
            </w:rPr>
            <w:tab/>
          </w:r>
          <w:r>
            <w:rPr>
              <w:b/>
            </w:rPr>
            <w:fldChar w:fldCharType="begin"/>
          </w:r>
          <w:r>
            <w:rPr>
              <w:b/>
            </w:rPr>
            <w:instrText xml:space="preserve"> PAGEREF _Toc4664 \h </w:instrText>
          </w:r>
          <w:r>
            <w:rPr>
              <w:b/>
            </w:rPr>
            <w:fldChar w:fldCharType="separate"/>
          </w:r>
          <w:r>
            <w:rPr>
              <w:b/>
            </w:rPr>
            <w:t>3</w:t>
          </w:r>
          <w:r>
            <w:rPr>
              <w:b/>
            </w:rPr>
            <w:fldChar w:fldCharType="end"/>
          </w:r>
          <w:r>
            <w:rPr>
              <w:rFonts w:hint="eastAsia"/>
              <w:b/>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_Toc10758 </w:instrText>
          </w:r>
          <w:r>
            <w:rPr>
              <w:rFonts w:hint="eastAsia"/>
            </w:rPr>
            <w:fldChar w:fldCharType="separate"/>
          </w:r>
          <w:r>
            <w:rPr>
              <w:rFonts w:hint="eastAsia" w:ascii="黑体" w:hAnsi="黑体" w:eastAsia="黑体" w:cs="黑体"/>
              <w:szCs w:val="32"/>
              <w:highlight w:val="none"/>
              <w:lang w:eastAsia="zh-CN"/>
            </w:rPr>
            <w:t>一、</w:t>
          </w:r>
          <w:r>
            <w:rPr>
              <w:rFonts w:hint="eastAsia" w:ascii="黑体" w:hAnsi="黑体" w:eastAsia="黑体" w:cs="黑体"/>
              <w:szCs w:val="32"/>
              <w:highlight w:val="none"/>
            </w:rPr>
            <w:t>收入支出决算总体情况说明</w:t>
          </w:r>
          <w:r>
            <w:tab/>
          </w:r>
          <w:r>
            <w:fldChar w:fldCharType="begin"/>
          </w:r>
          <w:r>
            <w:instrText xml:space="preserve"> PAGEREF _Toc10758 \h </w:instrText>
          </w:r>
          <w:r>
            <w:fldChar w:fldCharType="separate"/>
          </w:r>
          <w:r>
            <w:t>3</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_Toc16079 </w:instrText>
          </w:r>
          <w:r>
            <w:rPr>
              <w:rFonts w:hint="eastAsia"/>
            </w:rP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_Toc16079 \h </w:instrText>
          </w:r>
          <w:r>
            <w:fldChar w:fldCharType="separate"/>
          </w:r>
          <w:r>
            <w:t>3</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_Toc26580 </w:instrText>
          </w:r>
          <w:r>
            <w:rPr>
              <w:rFonts w:hint="eastAsia"/>
            </w:rP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_Toc26580 \h </w:instrText>
          </w:r>
          <w:r>
            <w:fldChar w:fldCharType="separate"/>
          </w:r>
          <w:r>
            <w:t>4</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_Toc19718 </w:instrText>
          </w:r>
          <w:r>
            <w:rPr>
              <w:rFonts w:hint="eastAsia"/>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_Toc19718 \h </w:instrText>
          </w:r>
          <w:r>
            <w:fldChar w:fldCharType="separate"/>
          </w:r>
          <w:r>
            <w:t>4</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_Toc16852 </w:instrText>
          </w:r>
          <w:r>
            <w:rPr>
              <w:rFonts w:hint="eastAsia"/>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_Toc16852 \h </w:instrText>
          </w:r>
          <w:r>
            <w:fldChar w:fldCharType="separate"/>
          </w:r>
          <w:r>
            <w:t>5</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_Toc14940 </w:instrText>
          </w:r>
          <w:r>
            <w:rPr>
              <w:rFonts w:hint="eastAsia"/>
            </w:rPr>
            <w:fldChar w:fldCharType="separate"/>
          </w:r>
          <w:r>
            <w:rPr>
              <w:rFonts w:hint="eastAsia" w:ascii="黑体" w:eastAsia="黑体"/>
              <w:spacing w:val="0"/>
              <w:szCs w:val="32"/>
              <w:highlight w:val="none"/>
            </w:rPr>
            <w:t>六、</w:t>
          </w:r>
          <w:r>
            <w:rPr>
              <w:rFonts w:hint="eastAsia" w:ascii="黑体" w:hAnsi="黑体" w:eastAsia="黑体"/>
              <w:spacing w:val="0"/>
              <w:szCs w:val="32"/>
              <w:highlight w:val="none"/>
            </w:rPr>
            <w:t>一</w:t>
          </w:r>
          <w:r>
            <w:rPr>
              <w:rFonts w:hint="eastAsia" w:ascii="黑体" w:hAnsi="黑体" w:eastAsia="黑体"/>
              <w:spacing w:val="0"/>
              <w:highlight w:val="none"/>
            </w:rPr>
            <w:t>般公共预算财政拨款基本支出决算情况说明</w:t>
          </w:r>
          <w:r>
            <w:tab/>
          </w:r>
          <w:r>
            <w:fldChar w:fldCharType="begin"/>
          </w:r>
          <w:r>
            <w:instrText xml:space="preserve"> PAGEREF _Toc14940 \h </w:instrText>
          </w:r>
          <w:r>
            <w:fldChar w:fldCharType="separate"/>
          </w:r>
          <w:r>
            <w:t>20</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_Toc18463 </w:instrText>
          </w:r>
          <w:r>
            <w:rPr>
              <w:rFonts w:hint="eastAsia"/>
            </w:rPr>
            <w:fldChar w:fldCharType="separate"/>
          </w:r>
          <w:r>
            <w:rPr>
              <w:rFonts w:hint="eastAsia" w:ascii="黑体" w:eastAsia="黑体"/>
              <w:spacing w:val="0"/>
              <w:szCs w:val="32"/>
              <w:highlight w:val="none"/>
            </w:rPr>
            <w:t>七、</w:t>
          </w:r>
          <w:r>
            <w:rPr>
              <w:rFonts w:hint="eastAsia" w:ascii="黑体" w:hAnsi="黑体" w:eastAsia="黑体"/>
              <w:spacing w:val="0"/>
              <w:highlight w:val="none"/>
            </w:rPr>
            <w:t>财政拨款“三公”经费支出决算情况说明</w:t>
          </w:r>
          <w:r>
            <w:tab/>
          </w:r>
          <w:r>
            <w:fldChar w:fldCharType="begin"/>
          </w:r>
          <w:r>
            <w:instrText xml:space="preserve"> PAGEREF _Toc18463 \h </w:instrText>
          </w:r>
          <w:r>
            <w:fldChar w:fldCharType="separate"/>
          </w:r>
          <w:r>
            <w:t>20</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_Toc1075 </w:instrText>
          </w:r>
          <w:r>
            <w:rPr>
              <w:rFonts w:hint="eastAsia"/>
            </w:rPr>
            <w:fldChar w:fldCharType="separate"/>
          </w:r>
          <w:r>
            <w:rPr>
              <w:rFonts w:hint="eastAsia" w:ascii="黑体" w:hAnsi="黑体" w:eastAsia="黑体" w:cs="黑体"/>
              <w:bCs w:val="0"/>
              <w:spacing w:val="0"/>
              <w:szCs w:val="32"/>
              <w:highlight w:val="none"/>
            </w:rPr>
            <w:t>八、</w:t>
          </w:r>
          <w:r>
            <w:rPr>
              <w:rFonts w:hint="eastAsia" w:ascii="黑体" w:hAnsi="黑体" w:eastAsia="黑体" w:cs="黑体"/>
              <w:bCs w:val="0"/>
              <w:spacing w:val="0"/>
              <w:highlight w:val="none"/>
            </w:rPr>
            <w:t>政府性基金预算支出决算情况说明</w:t>
          </w:r>
          <w:r>
            <w:tab/>
          </w:r>
          <w:r>
            <w:fldChar w:fldCharType="begin"/>
          </w:r>
          <w:r>
            <w:instrText xml:space="preserve"> PAGEREF _Toc1075 \h </w:instrText>
          </w:r>
          <w:r>
            <w:fldChar w:fldCharType="separate"/>
          </w:r>
          <w:r>
            <w:t>22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_Toc32147 </w:instrText>
          </w:r>
          <w:r>
            <w:rPr>
              <w:rFonts w:hint="eastAsia"/>
            </w:rPr>
            <w:fldChar w:fldCharType="separate"/>
          </w:r>
          <w:r>
            <w:rPr>
              <w:rFonts w:hint="eastAsia" w:ascii="黑体" w:hAnsi="黑体" w:eastAsia="黑体" w:cs="黑体"/>
              <w:bCs w:val="0"/>
              <w:spacing w:val="0"/>
              <w:highlight w:val="none"/>
              <w:lang w:eastAsia="zh-CN"/>
            </w:rPr>
            <w:t>九、</w:t>
          </w:r>
          <w:r>
            <w:rPr>
              <w:rFonts w:hint="eastAsia" w:ascii="黑体" w:hAnsi="黑体" w:eastAsia="黑体" w:cs="黑体"/>
              <w:bCs w:val="0"/>
              <w:spacing w:val="0"/>
              <w:highlight w:val="none"/>
            </w:rPr>
            <w:t>国有资本经营预算支出决算情况说明</w:t>
          </w:r>
          <w:r>
            <w:tab/>
          </w:r>
          <w:r>
            <w:fldChar w:fldCharType="begin"/>
          </w:r>
          <w:r>
            <w:instrText xml:space="preserve"> PAGEREF _Toc32147 \h </w:instrText>
          </w:r>
          <w:r>
            <w:fldChar w:fldCharType="separate"/>
          </w:r>
          <w:r>
            <w:t>22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_Toc12173 </w:instrText>
          </w:r>
          <w:r>
            <w:rPr>
              <w:rFonts w:hint="eastAsia"/>
            </w:rPr>
            <w:fldChar w:fldCharType="separate"/>
          </w:r>
          <w:r>
            <w:rPr>
              <w:rFonts w:hint="eastAsia" w:ascii="黑体" w:hAnsi="黑体" w:eastAsia="黑体" w:cs="黑体"/>
              <w:bCs w:val="0"/>
              <w:spacing w:val="0"/>
              <w:highlight w:val="none"/>
              <w:lang w:eastAsia="zh-CN"/>
            </w:rPr>
            <w:t>十、其他重要事项的情况说明</w:t>
          </w:r>
          <w:r>
            <w:tab/>
          </w:r>
          <w:r>
            <w:fldChar w:fldCharType="begin"/>
          </w:r>
          <w:r>
            <w:instrText xml:space="preserve"> PAGEREF _Toc12173 \h </w:instrText>
          </w:r>
          <w:r>
            <w:fldChar w:fldCharType="separate"/>
          </w:r>
          <w:r>
            <w:t>22</w:t>
          </w:r>
          <w:r>
            <w:fldChar w:fldCharType="end"/>
          </w:r>
          <w:r>
            <w:rPr>
              <w:rFonts w:hint="eastAsia"/>
            </w:rPr>
            <w:fldChar w:fldCharType="end"/>
          </w:r>
        </w:p>
        <w:p>
          <w:pPr>
            <w:pStyle w:val="46"/>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_Toc1375 </w:instrText>
          </w:r>
          <w:r>
            <w:rPr>
              <w:rFonts w:hint="eastAsia"/>
              <w:b/>
            </w:rPr>
            <w:fldChar w:fldCharType="separate"/>
          </w:r>
          <w:r>
            <w:rPr>
              <w:rFonts w:hint="eastAsia" w:ascii="方正小标宋简体" w:hAnsi="方正小标宋简体" w:eastAsia="方正小标宋简体" w:cs="方正小标宋简体"/>
              <w:b/>
              <w:bCs/>
              <w:spacing w:val="0"/>
              <w:szCs w:val="44"/>
              <w:highlight w:val="none"/>
              <w:lang w:eastAsia="zh-CN"/>
            </w:rPr>
            <w:t>第三部分</w:t>
          </w:r>
          <w:r>
            <w:rPr>
              <w:rFonts w:hint="eastAsia" w:ascii="方正小标宋简体" w:hAnsi="方正小标宋简体" w:eastAsia="方正小标宋简体" w:cs="方正小标宋简体"/>
              <w:b/>
              <w:bCs/>
              <w:spacing w:val="0"/>
              <w:szCs w:val="44"/>
              <w:highlight w:val="none"/>
              <w:lang w:val="en-US" w:eastAsia="zh-CN"/>
            </w:rPr>
            <w:t xml:space="preserve">  </w:t>
          </w:r>
          <w:r>
            <w:rPr>
              <w:rFonts w:hint="eastAsia" w:ascii="方正小标宋简体" w:hAnsi="方正小标宋简体" w:eastAsia="方正小标宋简体" w:cs="方正小标宋简体"/>
              <w:b/>
              <w:bCs/>
              <w:spacing w:val="0"/>
              <w:szCs w:val="44"/>
              <w:highlight w:val="none"/>
            </w:rPr>
            <w:t>名</w:t>
          </w:r>
          <w:r>
            <w:rPr>
              <w:rFonts w:hint="eastAsia" w:ascii="方正小标宋简体" w:hAnsi="方正小标宋简体" w:eastAsia="方正小标宋简体" w:cs="方正小标宋简体"/>
              <w:b/>
              <w:bCs/>
              <w:spacing w:val="0"/>
              <w:highlight w:val="none"/>
            </w:rPr>
            <w:t>词解释</w:t>
          </w:r>
          <w:r>
            <w:rPr>
              <w:b/>
            </w:rPr>
            <w:tab/>
          </w:r>
          <w:r>
            <w:rPr>
              <w:b/>
            </w:rPr>
            <w:fldChar w:fldCharType="begin"/>
          </w:r>
          <w:r>
            <w:rPr>
              <w:b/>
            </w:rPr>
            <w:instrText xml:space="preserve"> PAGEREF _Toc1375 \h </w:instrText>
          </w:r>
          <w:r>
            <w:rPr>
              <w:b/>
            </w:rPr>
            <w:fldChar w:fldCharType="separate"/>
          </w:r>
          <w:r>
            <w:rPr>
              <w:b/>
            </w:rPr>
            <w:t>24</w:t>
          </w:r>
          <w:r>
            <w:rPr>
              <w:b/>
            </w:rPr>
            <w:fldChar w:fldCharType="end"/>
          </w:r>
          <w:r>
            <w:rPr>
              <w:rFonts w:hint="eastAsia"/>
              <w:b/>
            </w:rPr>
            <w:fldChar w:fldCharType="end"/>
          </w:r>
        </w:p>
        <w:p>
          <w:pPr>
            <w:pStyle w:val="46"/>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_Toc12634 </w:instrText>
          </w:r>
          <w:r>
            <w:rPr>
              <w:rFonts w:hint="eastAsia"/>
              <w:b/>
            </w:rPr>
            <w:fldChar w:fldCharType="separate"/>
          </w:r>
          <w:r>
            <w:rPr>
              <w:rFonts w:hint="eastAsia" w:ascii="方正小标宋简体" w:hAnsi="方正小标宋简体" w:eastAsia="方正小标宋简体" w:cs="方正小标宋简体"/>
              <w:b/>
              <w:spacing w:val="0"/>
              <w:szCs w:val="44"/>
              <w:highlight w:val="none"/>
            </w:rPr>
            <w:t>第</w:t>
          </w:r>
          <w:r>
            <w:rPr>
              <w:rFonts w:hint="eastAsia" w:ascii="方正小标宋简体" w:hAnsi="方正小标宋简体" w:eastAsia="方正小标宋简体" w:cs="方正小标宋简体"/>
              <w:b/>
              <w:spacing w:val="0"/>
              <w:highlight w:val="none"/>
            </w:rPr>
            <w:t xml:space="preserve">四部分 </w:t>
          </w:r>
          <w:r>
            <w:rPr>
              <w:rFonts w:hint="eastAsia" w:ascii="方正小标宋简体" w:hAnsi="方正小标宋简体" w:eastAsia="方正小标宋简体" w:cs="方正小标宋简体"/>
              <w:b/>
              <w:spacing w:val="0"/>
              <w:highlight w:val="none"/>
              <w:lang w:val="en-US" w:eastAsia="zh-CN"/>
            </w:rPr>
            <w:t xml:space="preserve"> </w:t>
          </w:r>
          <w:r>
            <w:rPr>
              <w:rFonts w:hint="eastAsia" w:ascii="方正小标宋简体" w:hAnsi="方正小标宋简体" w:eastAsia="方正小标宋简体" w:cs="方正小标宋简体"/>
              <w:b/>
              <w:spacing w:val="0"/>
              <w:highlight w:val="none"/>
            </w:rPr>
            <w:t>附件</w:t>
          </w:r>
          <w:r>
            <w:rPr>
              <w:b/>
            </w:rPr>
            <w:tab/>
          </w:r>
          <w:r>
            <w:rPr>
              <w:b/>
            </w:rPr>
            <w:fldChar w:fldCharType="begin"/>
          </w:r>
          <w:r>
            <w:rPr>
              <w:b/>
            </w:rPr>
            <w:instrText xml:space="preserve"> PAGEREF _Toc12634 \h </w:instrText>
          </w:r>
          <w:r>
            <w:rPr>
              <w:b/>
            </w:rPr>
            <w:fldChar w:fldCharType="separate"/>
          </w:r>
          <w:r>
            <w:rPr>
              <w:b/>
            </w:rPr>
            <w:t>44</w:t>
          </w:r>
          <w:r>
            <w:rPr>
              <w:b/>
            </w:rPr>
            <w:fldChar w:fldCharType="end"/>
          </w:r>
          <w:r>
            <w:rPr>
              <w:rFonts w:hint="eastAsia"/>
              <w:b/>
            </w:rPr>
            <w:fldChar w:fldCharType="end"/>
          </w:r>
        </w:p>
        <w:p>
          <w:pPr>
            <w:pStyle w:val="46"/>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_Toc5121 </w:instrText>
          </w:r>
          <w:r>
            <w:rPr>
              <w:rFonts w:hint="eastAsia"/>
              <w:b/>
            </w:rPr>
            <w:fldChar w:fldCharType="separate"/>
          </w:r>
          <w:r>
            <w:rPr>
              <w:rFonts w:hint="eastAsia" w:ascii="方正小标宋简体" w:hAnsi="方正小标宋简体" w:eastAsia="方正小标宋简体" w:cs="方正小标宋简体"/>
              <w:b/>
              <w:spacing w:val="0"/>
              <w:szCs w:val="44"/>
              <w:highlight w:val="none"/>
            </w:rPr>
            <w:t>第</w:t>
          </w:r>
          <w:r>
            <w:rPr>
              <w:rFonts w:hint="eastAsia" w:ascii="方正小标宋简体" w:hAnsi="方正小标宋简体" w:eastAsia="方正小标宋简体" w:cs="方正小标宋简体"/>
              <w:b/>
              <w:spacing w:val="0"/>
              <w:highlight w:val="none"/>
            </w:rPr>
            <w:t xml:space="preserve">五部分 </w:t>
          </w:r>
          <w:r>
            <w:rPr>
              <w:rFonts w:hint="eastAsia" w:ascii="方正小标宋简体" w:hAnsi="方正小标宋简体" w:eastAsia="方正小标宋简体" w:cs="方正小标宋简体"/>
              <w:b/>
              <w:spacing w:val="0"/>
              <w:highlight w:val="none"/>
              <w:lang w:val="en-US" w:eastAsia="zh-CN"/>
            </w:rPr>
            <w:t xml:space="preserve"> </w:t>
          </w:r>
          <w:r>
            <w:rPr>
              <w:rFonts w:hint="eastAsia" w:ascii="方正小标宋简体" w:hAnsi="方正小标宋简体" w:eastAsia="方正小标宋简体" w:cs="方正小标宋简体"/>
              <w:b/>
              <w:spacing w:val="0"/>
              <w:highlight w:val="none"/>
            </w:rPr>
            <w:t>附表</w:t>
          </w:r>
          <w:r>
            <w:rPr>
              <w:b/>
            </w:rPr>
            <w:tab/>
          </w:r>
          <w:r>
            <w:rPr>
              <w:b/>
            </w:rPr>
            <w:fldChar w:fldCharType="begin"/>
          </w:r>
          <w:r>
            <w:rPr>
              <w:b/>
            </w:rPr>
            <w:instrText xml:space="preserve"> PAGEREF _Toc5121 \h </w:instrText>
          </w:r>
          <w:r>
            <w:rPr>
              <w:b/>
            </w:rPr>
            <w:fldChar w:fldCharType="separate"/>
          </w:r>
          <w:r>
            <w:rPr>
              <w:b/>
            </w:rPr>
            <w:t>72</w:t>
          </w:r>
          <w:r>
            <w:rPr>
              <w:b/>
            </w:rPr>
            <w:fldChar w:fldCharType="end"/>
          </w:r>
          <w:r>
            <w:rPr>
              <w:rFonts w:hint="eastAsia"/>
              <w:b/>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_Toc29663 </w:instrText>
          </w:r>
          <w:r>
            <w:rPr>
              <w:rFonts w:hint="eastAsia"/>
            </w:rPr>
            <w:fldChar w:fldCharType="separate"/>
          </w:r>
          <w:r>
            <w:rPr>
              <w:rFonts w:hint="eastAsia" w:ascii="仿宋_GB2312" w:hAnsi="仿宋_GB2312" w:eastAsia="仿宋_GB2312" w:cs="仿宋_GB2312"/>
              <w:bCs w:val="0"/>
              <w:spacing w:val="0"/>
              <w:szCs w:val="32"/>
              <w:highlight w:val="none"/>
              <w:lang w:eastAsia="zh-CN"/>
            </w:rPr>
            <w:t>一、</w:t>
          </w:r>
          <w:r>
            <w:rPr>
              <w:rFonts w:hint="eastAsia" w:ascii="仿宋_GB2312" w:hAnsi="仿宋_GB2312" w:eastAsia="仿宋_GB2312" w:cs="仿宋_GB2312"/>
              <w:bCs w:val="0"/>
              <w:spacing w:val="0"/>
              <w:szCs w:val="32"/>
              <w:highlight w:val="none"/>
            </w:rPr>
            <w:t>收入支出决算总表</w:t>
          </w:r>
          <w:r>
            <w:tab/>
          </w:r>
          <w:r>
            <w:fldChar w:fldCharType="begin"/>
          </w:r>
          <w:r>
            <w:instrText xml:space="preserve"> PAGEREF _Toc29663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_Toc5830 </w:instrText>
          </w:r>
          <w:r>
            <w:rPr>
              <w:rFonts w:hint="eastAsia"/>
            </w:rPr>
            <w:fldChar w:fldCharType="separate"/>
          </w:r>
          <w:r>
            <w:rPr>
              <w:rFonts w:hint="eastAsia" w:ascii="仿宋_GB2312" w:hAnsi="仿宋_GB2312" w:eastAsia="仿宋_GB2312" w:cs="仿宋_GB2312"/>
              <w:bCs w:val="0"/>
              <w:spacing w:val="0"/>
              <w:szCs w:val="32"/>
              <w:highlight w:val="none"/>
              <w:lang w:eastAsia="zh-CN"/>
            </w:rPr>
            <w:t>二、</w:t>
          </w:r>
          <w:r>
            <w:rPr>
              <w:rFonts w:hint="eastAsia" w:ascii="仿宋_GB2312" w:hAnsi="仿宋_GB2312" w:eastAsia="仿宋_GB2312" w:cs="仿宋_GB2312"/>
              <w:bCs w:val="0"/>
              <w:spacing w:val="0"/>
              <w:szCs w:val="32"/>
              <w:highlight w:val="none"/>
            </w:rPr>
            <w:t>收入决算表</w:t>
          </w:r>
          <w:r>
            <w:tab/>
          </w:r>
          <w:r>
            <w:fldChar w:fldCharType="begin"/>
          </w:r>
          <w:r>
            <w:instrText xml:space="preserve"> PAGEREF _Toc5830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_Toc17595 </w:instrText>
          </w:r>
          <w:r>
            <w:rPr>
              <w:rFonts w:hint="eastAsia"/>
            </w:rPr>
            <w:fldChar w:fldCharType="separate"/>
          </w:r>
          <w:r>
            <w:rPr>
              <w:rFonts w:hint="eastAsia" w:ascii="仿宋_GB2312" w:hAnsi="仿宋_GB2312" w:eastAsia="仿宋_GB2312" w:cs="仿宋_GB2312"/>
              <w:bCs w:val="0"/>
              <w:spacing w:val="0"/>
              <w:szCs w:val="32"/>
              <w:highlight w:val="none"/>
            </w:rPr>
            <w:t>三、</w:t>
          </w:r>
          <w:r>
            <w:rPr>
              <w:rFonts w:hint="eastAsia" w:ascii="仿宋_GB2312" w:hAnsi="仿宋_GB2312" w:eastAsia="仿宋_GB2312" w:cs="仿宋_GB2312"/>
              <w:spacing w:val="0"/>
              <w:szCs w:val="32"/>
              <w:highlight w:val="none"/>
            </w:rPr>
            <w:t>支</w:t>
          </w:r>
          <w:r>
            <w:rPr>
              <w:rFonts w:hint="eastAsia" w:ascii="仿宋_GB2312" w:hAnsi="仿宋_GB2312" w:eastAsia="仿宋_GB2312" w:cs="仿宋_GB2312"/>
              <w:bCs w:val="0"/>
              <w:spacing w:val="0"/>
              <w:szCs w:val="32"/>
              <w:highlight w:val="none"/>
            </w:rPr>
            <w:t>出决算表</w:t>
          </w:r>
          <w:r>
            <w:tab/>
          </w:r>
          <w:r>
            <w:fldChar w:fldCharType="begin"/>
          </w:r>
          <w:r>
            <w:instrText xml:space="preserve"> PAGEREF _Toc17595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_Toc7243 </w:instrText>
          </w:r>
          <w:r>
            <w:rPr>
              <w:rFonts w:hint="eastAsia"/>
            </w:rPr>
            <w:fldChar w:fldCharType="separate"/>
          </w:r>
          <w:r>
            <w:rPr>
              <w:rFonts w:hint="eastAsia" w:ascii="仿宋_GB2312" w:hAnsi="仿宋_GB2312" w:eastAsia="仿宋_GB2312" w:cs="仿宋_GB2312"/>
              <w:bCs w:val="0"/>
              <w:spacing w:val="0"/>
              <w:szCs w:val="32"/>
              <w:highlight w:val="none"/>
            </w:rPr>
            <w:t>四、</w:t>
          </w:r>
          <w:r>
            <w:rPr>
              <w:rFonts w:hint="eastAsia" w:ascii="仿宋_GB2312" w:hAnsi="仿宋_GB2312" w:eastAsia="仿宋_GB2312" w:cs="仿宋_GB2312"/>
              <w:spacing w:val="0"/>
              <w:szCs w:val="32"/>
              <w:highlight w:val="none"/>
            </w:rPr>
            <w:t>财</w:t>
          </w:r>
          <w:r>
            <w:rPr>
              <w:rFonts w:hint="eastAsia" w:ascii="仿宋_GB2312" w:hAnsi="仿宋_GB2312" w:eastAsia="仿宋_GB2312" w:cs="仿宋_GB2312"/>
              <w:bCs w:val="0"/>
              <w:spacing w:val="0"/>
              <w:szCs w:val="32"/>
              <w:highlight w:val="none"/>
            </w:rPr>
            <w:t>政拨款收入支出决算总表</w:t>
          </w:r>
          <w:r>
            <w:tab/>
          </w:r>
          <w:r>
            <w:fldChar w:fldCharType="begin"/>
          </w:r>
          <w:r>
            <w:instrText xml:space="preserve"> PAGEREF _Toc7243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_Toc16635 </w:instrText>
          </w:r>
          <w:r>
            <w:rPr>
              <w:rFonts w:hint="eastAsia"/>
            </w:rPr>
            <w:fldChar w:fldCharType="separate"/>
          </w:r>
          <w:r>
            <w:rPr>
              <w:rFonts w:hint="eastAsia" w:ascii="仿宋_GB2312" w:hAnsi="仿宋_GB2312" w:eastAsia="仿宋_GB2312" w:cs="仿宋_GB2312"/>
              <w:bCs w:val="0"/>
              <w:spacing w:val="0"/>
              <w:szCs w:val="32"/>
              <w:highlight w:val="none"/>
            </w:rPr>
            <w:t>五、</w:t>
          </w:r>
          <w:r>
            <w:rPr>
              <w:rFonts w:hint="eastAsia" w:ascii="仿宋_GB2312" w:hAnsi="仿宋_GB2312" w:eastAsia="仿宋_GB2312" w:cs="仿宋_GB2312"/>
              <w:spacing w:val="0"/>
              <w:szCs w:val="32"/>
              <w:highlight w:val="none"/>
            </w:rPr>
            <w:t>财</w:t>
          </w:r>
          <w:r>
            <w:rPr>
              <w:rFonts w:hint="eastAsia" w:ascii="仿宋_GB2312" w:hAnsi="仿宋_GB2312" w:eastAsia="仿宋_GB2312" w:cs="仿宋_GB2312"/>
              <w:bCs w:val="0"/>
              <w:spacing w:val="0"/>
              <w:szCs w:val="32"/>
              <w:highlight w:val="none"/>
            </w:rPr>
            <w:t>政拨款支出决算明细表</w:t>
          </w:r>
          <w:r>
            <w:tab/>
          </w:r>
          <w:r>
            <w:fldChar w:fldCharType="begin"/>
          </w:r>
          <w:r>
            <w:instrText xml:space="preserve"> PAGEREF _Toc16635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_Toc8638 </w:instrText>
          </w:r>
          <w:r>
            <w:rPr>
              <w:rFonts w:hint="eastAsia"/>
            </w:rPr>
            <w:fldChar w:fldCharType="separate"/>
          </w:r>
          <w:r>
            <w:rPr>
              <w:rFonts w:hint="eastAsia" w:ascii="仿宋_GB2312" w:hAnsi="仿宋_GB2312" w:eastAsia="仿宋_GB2312" w:cs="仿宋_GB2312"/>
              <w:bCs w:val="0"/>
              <w:spacing w:val="0"/>
              <w:szCs w:val="32"/>
              <w:highlight w:val="none"/>
            </w:rPr>
            <w:t>六、</w:t>
          </w:r>
          <w:r>
            <w:rPr>
              <w:rFonts w:hint="eastAsia" w:ascii="仿宋_GB2312" w:hAnsi="仿宋_GB2312" w:eastAsia="仿宋_GB2312" w:cs="仿宋_GB2312"/>
              <w:spacing w:val="0"/>
              <w:szCs w:val="32"/>
              <w:highlight w:val="none"/>
            </w:rPr>
            <w:t>一</w:t>
          </w:r>
          <w:r>
            <w:rPr>
              <w:rFonts w:hint="eastAsia" w:ascii="仿宋_GB2312" w:hAnsi="仿宋_GB2312" w:eastAsia="仿宋_GB2312" w:cs="仿宋_GB2312"/>
              <w:bCs w:val="0"/>
              <w:spacing w:val="0"/>
              <w:szCs w:val="32"/>
              <w:highlight w:val="none"/>
            </w:rPr>
            <w:t>般公共预算财政拨款支出决算表</w:t>
          </w:r>
          <w:r>
            <w:tab/>
          </w:r>
          <w:r>
            <w:fldChar w:fldCharType="begin"/>
          </w:r>
          <w:r>
            <w:instrText xml:space="preserve"> PAGEREF _Toc8638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_Toc24625 </w:instrText>
          </w:r>
          <w:r>
            <w:rPr>
              <w:rFonts w:hint="eastAsia"/>
            </w:rPr>
            <w:fldChar w:fldCharType="separate"/>
          </w:r>
          <w:r>
            <w:rPr>
              <w:rFonts w:hint="eastAsia" w:ascii="仿宋_GB2312" w:hAnsi="仿宋_GB2312" w:eastAsia="仿宋_GB2312" w:cs="仿宋_GB2312"/>
              <w:bCs w:val="0"/>
              <w:spacing w:val="0"/>
              <w:szCs w:val="32"/>
              <w:highlight w:val="none"/>
            </w:rPr>
            <w:t>七、</w:t>
          </w:r>
          <w:r>
            <w:rPr>
              <w:rFonts w:hint="eastAsia" w:ascii="仿宋_GB2312" w:hAnsi="仿宋_GB2312" w:eastAsia="仿宋_GB2312" w:cs="仿宋_GB2312"/>
              <w:spacing w:val="0"/>
              <w:szCs w:val="32"/>
              <w:highlight w:val="none"/>
            </w:rPr>
            <w:t>一</w:t>
          </w:r>
          <w:r>
            <w:rPr>
              <w:rFonts w:hint="eastAsia" w:ascii="仿宋_GB2312" w:hAnsi="仿宋_GB2312" w:eastAsia="仿宋_GB2312" w:cs="仿宋_GB2312"/>
              <w:bCs w:val="0"/>
              <w:spacing w:val="0"/>
              <w:szCs w:val="32"/>
              <w:highlight w:val="none"/>
            </w:rPr>
            <w:t>般公共预算财政拨款支出决算明细表</w:t>
          </w:r>
          <w:r>
            <w:tab/>
          </w:r>
          <w:r>
            <w:fldChar w:fldCharType="begin"/>
          </w:r>
          <w:r>
            <w:instrText xml:space="preserve"> PAGEREF _Toc24625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_Toc23318 </w:instrText>
          </w:r>
          <w:r>
            <w:rPr>
              <w:rFonts w:hint="eastAsia"/>
            </w:rPr>
            <w:fldChar w:fldCharType="separate"/>
          </w:r>
          <w:r>
            <w:rPr>
              <w:rFonts w:hint="eastAsia" w:ascii="仿宋_GB2312" w:hAnsi="仿宋_GB2312" w:eastAsia="仿宋_GB2312" w:cs="仿宋_GB2312"/>
              <w:bCs w:val="0"/>
              <w:spacing w:val="0"/>
              <w:szCs w:val="32"/>
              <w:highlight w:val="none"/>
            </w:rPr>
            <w:t>八、</w:t>
          </w:r>
          <w:r>
            <w:rPr>
              <w:rFonts w:hint="eastAsia" w:ascii="仿宋_GB2312" w:hAnsi="仿宋_GB2312" w:eastAsia="仿宋_GB2312" w:cs="仿宋_GB2312"/>
              <w:spacing w:val="0"/>
              <w:szCs w:val="32"/>
              <w:highlight w:val="none"/>
            </w:rPr>
            <w:t>一</w:t>
          </w:r>
          <w:r>
            <w:rPr>
              <w:rFonts w:hint="eastAsia" w:ascii="仿宋_GB2312" w:hAnsi="仿宋_GB2312" w:eastAsia="仿宋_GB2312" w:cs="仿宋_GB2312"/>
              <w:bCs w:val="0"/>
              <w:spacing w:val="0"/>
              <w:szCs w:val="32"/>
              <w:highlight w:val="none"/>
            </w:rPr>
            <w:t>般公共预算财政拨款基本支出决算表</w:t>
          </w:r>
          <w:r>
            <w:tab/>
          </w:r>
          <w:r>
            <w:fldChar w:fldCharType="begin"/>
          </w:r>
          <w:r>
            <w:instrText xml:space="preserve"> PAGEREF _Toc23318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_Toc32347 </w:instrText>
          </w:r>
          <w:r>
            <w:rPr>
              <w:rFonts w:hint="eastAsia"/>
            </w:rPr>
            <w:fldChar w:fldCharType="separate"/>
          </w:r>
          <w:r>
            <w:rPr>
              <w:rFonts w:hint="eastAsia" w:ascii="仿宋_GB2312" w:hAnsi="仿宋_GB2312" w:eastAsia="仿宋_GB2312" w:cs="仿宋_GB2312"/>
              <w:bCs w:val="0"/>
              <w:spacing w:val="0"/>
              <w:szCs w:val="32"/>
              <w:highlight w:val="none"/>
            </w:rPr>
            <w:t>九、</w:t>
          </w:r>
          <w:r>
            <w:rPr>
              <w:rFonts w:hint="eastAsia" w:ascii="仿宋_GB2312" w:hAnsi="仿宋_GB2312" w:eastAsia="仿宋_GB2312" w:cs="仿宋_GB2312"/>
              <w:spacing w:val="0"/>
              <w:szCs w:val="32"/>
              <w:highlight w:val="none"/>
            </w:rPr>
            <w:t>一</w:t>
          </w:r>
          <w:r>
            <w:rPr>
              <w:rFonts w:hint="eastAsia" w:ascii="仿宋_GB2312" w:hAnsi="仿宋_GB2312" w:eastAsia="仿宋_GB2312" w:cs="仿宋_GB2312"/>
              <w:bCs w:val="0"/>
              <w:spacing w:val="0"/>
              <w:szCs w:val="32"/>
              <w:highlight w:val="none"/>
            </w:rPr>
            <w:t>般公共预算财政拨款项目支出决算表</w:t>
          </w:r>
          <w:r>
            <w:tab/>
          </w:r>
          <w:r>
            <w:fldChar w:fldCharType="begin"/>
          </w:r>
          <w:r>
            <w:instrText xml:space="preserve"> PAGEREF _Toc32347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_Toc29849 </w:instrText>
          </w:r>
          <w:r>
            <w:rPr>
              <w:rFonts w:hint="eastAsia"/>
            </w:rPr>
            <w:fldChar w:fldCharType="separate"/>
          </w:r>
          <w:r>
            <w:rPr>
              <w:rFonts w:hint="eastAsia" w:ascii="仿宋_GB2312" w:hAnsi="仿宋_GB2312" w:eastAsia="仿宋_GB2312" w:cs="仿宋_GB2312"/>
              <w:bCs w:val="0"/>
              <w:spacing w:val="0"/>
              <w:szCs w:val="32"/>
              <w:highlight w:val="none"/>
            </w:rPr>
            <w:t>十、</w:t>
          </w:r>
          <w:r>
            <w:rPr>
              <w:rFonts w:hint="eastAsia" w:ascii="仿宋_GB2312" w:hAnsi="仿宋_GB2312" w:eastAsia="仿宋_GB2312" w:cs="仿宋_GB2312"/>
              <w:spacing w:val="0"/>
              <w:szCs w:val="32"/>
              <w:highlight w:val="none"/>
            </w:rPr>
            <w:t>政</w:t>
          </w:r>
          <w:r>
            <w:rPr>
              <w:rFonts w:hint="eastAsia" w:ascii="仿宋_GB2312" w:hAnsi="仿宋_GB2312" w:eastAsia="仿宋_GB2312" w:cs="仿宋_GB2312"/>
              <w:bCs w:val="0"/>
              <w:spacing w:val="0"/>
              <w:szCs w:val="32"/>
              <w:highlight w:val="none"/>
            </w:rPr>
            <w:t>府性基金预算财政拨款收入支出决算表</w:t>
          </w:r>
          <w:r>
            <w:tab/>
          </w:r>
          <w:r>
            <w:fldChar w:fldCharType="begin"/>
          </w:r>
          <w:r>
            <w:instrText xml:space="preserve"> PAGEREF _Toc29849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_Toc24040 </w:instrText>
          </w:r>
          <w:r>
            <w:rPr>
              <w:rFonts w:hint="eastAsia"/>
            </w:rPr>
            <w:fldChar w:fldCharType="separate"/>
          </w:r>
          <w:r>
            <w:rPr>
              <w:rFonts w:hint="eastAsia" w:ascii="仿宋_GB2312" w:hAnsi="仿宋_GB2312" w:eastAsia="仿宋_GB2312" w:cs="仿宋_GB2312"/>
              <w:bCs w:val="0"/>
              <w:spacing w:val="0"/>
              <w:szCs w:val="32"/>
              <w:highlight w:val="none"/>
            </w:rPr>
            <w:t>十</w:t>
          </w:r>
          <w:r>
            <w:rPr>
              <w:rFonts w:hint="eastAsia" w:ascii="仿宋_GB2312" w:hAnsi="仿宋_GB2312" w:eastAsia="仿宋_GB2312" w:cs="仿宋_GB2312"/>
              <w:bCs w:val="0"/>
              <w:spacing w:val="0"/>
              <w:szCs w:val="32"/>
              <w:highlight w:val="none"/>
              <w:lang w:eastAsia="zh-CN"/>
            </w:rPr>
            <w:t>一</w:t>
          </w:r>
          <w:r>
            <w:rPr>
              <w:rFonts w:hint="eastAsia" w:ascii="仿宋_GB2312" w:hAnsi="仿宋_GB2312" w:eastAsia="仿宋_GB2312" w:cs="仿宋_GB2312"/>
              <w:bCs w:val="0"/>
              <w:spacing w:val="0"/>
              <w:szCs w:val="32"/>
              <w:highlight w:val="none"/>
            </w:rPr>
            <w:t>、</w:t>
          </w:r>
          <w:r>
            <w:rPr>
              <w:rFonts w:hint="eastAsia" w:ascii="仿宋_GB2312" w:hAnsi="仿宋_GB2312" w:eastAsia="仿宋_GB2312" w:cs="仿宋_GB2312"/>
              <w:spacing w:val="0"/>
              <w:szCs w:val="32"/>
              <w:highlight w:val="none"/>
            </w:rPr>
            <w:t>国</w:t>
          </w:r>
          <w:r>
            <w:rPr>
              <w:rFonts w:hint="eastAsia" w:ascii="仿宋_GB2312" w:hAnsi="仿宋_GB2312" w:eastAsia="仿宋_GB2312" w:cs="仿宋_GB2312"/>
              <w:bCs w:val="0"/>
              <w:spacing w:val="0"/>
              <w:szCs w:val="32"/>
              <w:highlight w:val="none"/>
            </w:rPr>
            <w:t>有资本经营预算</w:t>
          </w:r>
          <w:r>
            <w:rPr>
              <w:rFonts w:hint="eastAsia" w:ascii="仿宋_GB2312" w:hAnsi="仿宋_GB2312" w:eastAsia="仿宋_GB2312" w:cs="仿宋_GB2312"/>
              <w:bCs w:val="0"/>
              <w:spacing w:val="0"/>
              <w:szCs w:val="32"/>
              <w:highlight w:val="none"/>
              <w:lang w:eastAsia="zh-CN"/>
            </w:rPr>
            <w:t>财政拨款收入</w:t>
          </w:r>
          <w:r>
            <w:rPr>
              <w:rFonts w:hint="eastAsia" w:ascii="仿宋_GB2312" w:hAnsi="仿宋_GB2312" w:eastAsia="仿宋_GB2312" w:cs="仿宋_GB2312"/>
              <w:bCs w:val="0"/>
              <w:spacing w:val="0"/>
              <w:szCs w:val="32"/>
              <w:highlight w:val="none"/>
            </w:rPr>
            <w:t>支出决算表</w:t>
          </w:r>
          <w:r>
            <w:tab/>
          </w:r>
          <w:r>
            <w:fldChar w:fldCharType="begin"/>
          </w:r>
          <w:r>
            <w:instrText xml:space="preserve"> PAGEREF _Toc24040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_Toc14676 </w:instrText>
          </w:r>
          <w:r>
            <w:rPr>
              <w:rFonts w:hint="eastAsia"/>
            </w:rPr>
            <w:fldChar w:fldCharType="separate"/>
          </w:r>
          <w:r>
            <w:rPr>
              <w:rFonts w:hint="eastAsia" w:ascii="仿宋_GB2312" w:hAnsi="仿宋_GB2312" w:eastAsia="仿宋_GB2312" w:cs="仿宋_GB2312"/>
              <w:bCs w:val="0"/>
              <w:spacing w:val="0"/>
              <w:szCs w:val="32"/>
              <w:highlight w:val="none"/>
              <w:lang w:eastAsia="zh-CN"/>
            </w:rPr>
            <w:t>十二、国有资本经营预算财政拨款支出决算表</w:t>
          </w:r>
          <w:r>
            <w:tab/>
          </w:r>
          <w:r>
            <w:fldChar w:fldCharType="begin"/>
          </w:r>
          <w:r>
            <w:instrText xml:space="preserve"> PAGEREF _Toc14676 \h </w:instrText>
          </w:r>
          <w:r>
            <w:fldChar w:fldCharType="separate"/>
          </w:r>
          <w:r>
            <w:t>72</w:t>
          </w:r>
          <w:r>
            <w:fldChar w:fldCharType="end"/>
          </w:r>
          <w:r>
            <w:rPr>
              <w:rFonts w:hint="eastAsia"/>
            </w:rPr>
            <w:fldChar w:fldCharType="end"/>
          </w:r>
        </w:p>
        <w:p>
          <w:pPr>
            <w:pStyle w:val="47"/>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_Toc11962 </w:instrText>
          </w:r>
          <w:r>
            <w:rPr>
              <w:rFonts w:hint="eastAsia"/>
            </w:rPr>
            <w:fldChar w:fldCharType="separate"/>
          </w:r>
          <w:r>
            <w:rPr>
              <w:rFonts w:hint="eastAsia" w:ascii="仿宋_GB2312" w:hAnsi="仿宋_GB2312" w:eastAsia="仿宋_GB2312" w:cs="仿宋_GB2312"/>
              <w:bCs w:val="0"/>
              <w:spacing w:val="0"/>
              <w:szCs w:val="32"/>
              <w:highlight w:val="none"/>
              <w:lang w:eastAsia="zh-CN"/>
            </w:rPr>
            <w:t>十三、财政拨款“三公”经费支出决算表</w:t>
          </w:r>
          <w:r>
            <w:tab/>
          </w:r>
          <w:r>
            <w:fldChar w:fldCharType="begin"/>
          </w:r>
          <w:r>
            <w:instrText xml:space="preserve"> PAGEREF _Toc11962 \h </w:instrText>
          </w:r>
          <w:r>
            <w:fldChar w:fldCharType="separate"/>
          </w:r>
          <w:r>
            <w:t>72</w:t>
          </w:r>
          <w:r>
            <w:fldChar w:fldCharType="end"/>
          </w:r>
          <w:r>
            <w:rPr>
              <w:rFonts w:hint="eastAsia"/>
            </w:rPr>
            <w:fldChar w:fldCharType="end"/>
          </w:r>
        </w:p>
        <w:p>
          <w:pPr>
            <w:pStyle w:val="2"/>
            <w:keepNext w:val="0"/>
            <w:keepLines w:val="0"/>
            <w:pageBreakBefore w:val="0"/>
            <w:kinsoku/>
            <w:wordWrap/>
            <w:overflowPunct/>
            <w:topLinePunct w:val="0"/>
            <w:autoSpaceDE/>
            <w:autoSpaceDN/>
            <w:bidi w:val="0"/>
            <w:adjustRightInd/>
            <w:snapToGrid/>
            <w:spacing w:line="340" w:lineRule="exact"/>
            <w:textAlignment w:val="auto"/>
            <w:rPr>
              <w:rFonts w:hint="eastAsia"/>
            </w:rPr>
          </w:pPr>
          <w:r>
            <w:rPr>
              <w:rFonts w:hint="eastAsia"/>
              <w:b/>
            </w:rPr>
            <w:fldChar w:fldCharType="end"/>
          </w:r>
        </w:p>
      </w:sdtContent>
    </w:sdt>
    <w:p>
      <w:pPr>
        <w:pStyle w:val="4"/>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方正小标宋简体" w:hAnsi="方正小标宋简体" w:eastAsia="方正小标宋简体" w:cs="方正小标宋简体"/>
          <w:b w:val="0"/>
          <w:color w:val="000000" w:themeColor="text1"/>
          <w:highlight w:val="none"/>
          <w14:textFill>
            <w14:solidFill>
              <w14:schemeClr w14:val="tx1"/>
            </w14:solidFill>
          </w14:textFill>
        </w:rPr>
        <w:sectPr>
          <w:footerReference r:id="rId4" w:type="default"/>
          <w:pgSz w:w="11900" w:h="16840"/>
          <w:pgMar w:top="2098" w:right="1474" w:bottom="1984" w:left="1587" w:header="850" w:footer="1417" w:gutter="0"/>
          <w:pgNumType w:fmt="decimal" w:start="1"/>
          <w:cols w:space="0" w:num="1"/>
          <w:rtlGutter w:val="0"/>
          <w:docGrid w:linePitch="0" w:charSpace="0"/>
        </w:sectPr>
      </w:pPr>
      <w:bookmarkStart w:id="20" w:name="_Toc26787"/>
    </w:p>
    <w:p>
      <w:pPr>
        <w:pStyle w:val="4"/>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Style w:val="23"/>
          <w:rFonts w:hint="eastAsia" w:ascii="方正小标宋简体" w:hAnsi="方正小标宋简体" w:eastAsia="方正小标宋简体" w:cs="方正小标宋简体"/>
          <w:b/>
          <w:bCs w:val="0"/>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b w:val="0"/>
          <w:color w:val="000000" w:themeColor="text1"/>
          <w:highlight w:val="none"/>
          <w14:textFill>
            <w14:solidFill>
              <w14:schemeClr w14:val="tx1"/>
            </w14:solidFill>
          </w14:textFill>
        </w:rPr>
        <w:t xml:space="preserve">第一部分 </w:t>
      </w:r>
      <w:r>
        <w:rPr>
          <w:rFonts w:hint="eastAsia" w:ascii="方正小标宋简体" w:hAnsi="方正小标宋简体" w:eastAsia="方正小标宋简体" w:cs="方正小标宋简体"/>
          <w:b w:val="0"/>
          <w:color w:val="000000" w:themeColor="text1"/>
          <w:highlight w:val="none"/>
          <w:lang w:val="en-US" w:eastAsia="zh-CN"/>
          <w14:textFill>
            <w14:solidFill>
              <w14:schemeClr w14:val="tx1"/>
            </w14:solidFill>
          </w14:textFill>
        </w:rPr>
        <w:t xml:space="preserve"> 部门</w:t>
      </w:r>
      <w:r>
        <w:rPr>
          <w:rStyle w:val="23"/>
          <w:rFonts w:hint="eastAsia" w:ascii="方正小标宋简体" w:hAnsi="方正小标宋简体" w:eastAsia="方正小标宋简体" w:cs="方正小标宋简体"/>
          <w:b w:val="0"/>
          <w:bCs w:val="0"/>
          <w:color w:val="000000" w:themeColor="text1"/>
          <w:highlight w:val="none"/>
          <w14:textFill>
            <w14:solidFill>
              <w14:schemeClr w14:val="tx1"/>
            </w14:solidFill>
          </w14:textFill>
        </w:rPr>
        <w:t>概况</w:t>
      </w:r>
      <w:bookmarkEnd w:id="6"/>
      <w:bookmarkEnd w:id="7"/>
      <w:bookmarkEnd w:id="20"/>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黑体" w:eastAsia="黑体"/>
          <w:color w:val="000000" w:themeColor="text1"/>
          <w:sz w:val="32"/>
          <w:szCs w:val="32"/>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楷体_GB2312" w:hAnsi="楷体_GB2312" w:eastAsia="楷体_GB2312" w:cs="楷体_GB2312"/>
          <w:b/>
          <w:bCs/>
          <w:color w:val="000000"/>
          <w:sz w:val="32"/>
          <w:szCs w:val="32"/>
          <w:highlight w:val="none"/>
          <w:lang w:eastAsia="zh-CN"/>
        </w:rPr>
      </w:pPr>
      <w:bookmarkStart w:id="21" w:name="_Toc15396600"/>
      <w:bookmarkStart w:id="22" w:name="_Toc15377197"/>
      <w:bookmarkStart w:id="23" w:name="_Toc9749"/>
      <w:r>
        <w:rPr>
          <w:rFonts w:hint="eastAsia" w:ascii="黑体" w:hAnsi="黑体" w:eastAsia="黑体" w:cs="黑体"/>
          <w:b w:val="0"/>
          <w:color w:val="000000" w:themeColor="text1"/>
          <w:highlight w:val="none"/>
          <w14:textFill>
            <w14:solidFill>
              <w14:schemeClr w14:val="tx1"/>
            </w14:solidFill>
          </w14:textFill>
        </w:rPr>
        <w:t>一、</w:t>
      </w:r>
      <w:bookmarkEnd w:id="21"/>
      <w:bookmarkEnd w:id="22"/>
      <w:r>
        <w:rPr>
          <w:rFonts w:hint="eastAsia" w:ascii="黑体" w:hAnsi="黑体" w:eastAsia="黑体" w:cs="黑体"/>
          <w:b w:val="0"/>
          <w:color w:val="000000" w:themeColor="text1"/>
          <w:highlight w:val="none"/>
          <w:lang w:eastAsia="zh-CN"/>
          <w14:textFill>
            <w14:solidFill>
              <w14:schemeClr w14:val="tx1"/>
            </w14:solidFill>
          </w14:textFill>
        </w:rPr>
        <w:t>部门职责</w:t>
      </w:r>
      <w:bookmarkEnd w:id="23"/>
      <w:bookmarkStart w:id="24" w:name="_Toc15396602"/>
      <w:bookmarkStart w:id="25" w:name="_Toc15377204"/>
    </w:p>
    <w:p>
      <w:pPr>
        <w:keepNext w:val="0"/>
        <w:keepLines w:val="0"/>
        <w:pageBreakBefore w:val="0"/>
        <w:widowControl w:val="0"/>
        <w:kinsoku/>
        <w:wordWrap/>
        <w:overflowPunct/>
        <w:topLinePunct w:val="0"/>
        <w:autoSpaceDE/>
        <w:autoSpaceDN/>
        <w:bidi w:val="0"/>
        <w:spacing w:line="57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rPr>
        <w:t>.</w:t>
      </w:r>
      <w:r>
        <w:rPr>
          <w:rFonts w:hint="eastAsia" w:ascii="仿宋_GB2312" w:hAnsi="仿宋_GB2312" w:eastAsia="仿宋_GB2312" w:cs="仿宋_GB2312"/>
          <w:b/>
          <w:bCs/>
          <w:color w:val="000000"/>
          <w:sz w:val="32"/>
          <w:szCs w:val="32"/>
          <w:highlight w:val="none"/>
        </w:rPr>
        <w:t>党工委职责</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val="0"/>
          <w:bCs/>
          <w:color w:val="000000"/>
          <w:kern w:val="2"/>
          <w:sz w:val="32"/>
          <w:szCs w:val="32"/>
          <w:highlight w:val="none"/>
          <w:lang w:val="en-US" w:eastAsia="zh-CN" w:bidi="ar-SA"/>
        </w:rPr>
        <w:t>贯彻党的路线、方针、政策和市委的决议、指示；研究解决辖区内重大经济社会发展问题；受市委委托负责辖区内干部管理；负责辖区内党的组织、思想、党风廉政建设和其他党务工作；负责辖区内党的纪律检查工作；负责辖区内宣传和精神文明建设工作；组织协调辖区内政法、社会管理综合治理工作；负责辖区内工会、共青团、妇联等群团工作；负责市委交办的其他事项。</w:t>
      </w:r>
    </w:p>
    <w:p>
      <w:pPr>
        <w:pStyle w:val="9"/>
        <w:keepNext w:val="0"/>
        <w:keepLines w:val="0"/>
        <w:pageBreakBefore w:val="0"/>
        <w:widowControl w:val="0"/>
        <w:kinsoku/>
        <w:wordWrap/>
        <w:overflowPunct/>
        <w:topLinePunct w:val="0"/>
        <w:autoSpaceDE/>
        <w:autoSpaceDN/>
        <w:bidi w:val="0"/>
        <w:adjustRightInd w:val="0"/>
        <w:snapToGrid w:val="0"/>
        <w:spacing w:beforeLines="0" w:line="570" w:lineRule="exact"/>
        <w:ind w:left="0" w:leftChars="0" w:firstLine="642" w:firstLineChars="2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2.管委会职责</w:t>
      </w:r>
      <w:r>
        <w:rPr>
          <w:rFonts w:hint="eastAsia" w:hAnsi="仿宋_GB2312" w:cs="仿宋_GB2312"/>
          <w:b/>
          <w:bCs w:val="0"/>
          <w:color w:val="000000"/>
          <w:kern w:val="2"/>
          <w:sz w:val="32"/>
          <w:szCs w:val="32"/>
          <w:highlight w:val="none"/>
          <w:lang w:val="en-US" w:eastAsia="zh-CN" w:bidi="ar-SA"/>
        </w:rPr>
        <w:t>：</w:t>
      </w:r>
      <w:r>
        <w:rPr>
          <w:rFonts w:hint="eastAsia" w:ascii="仿宋_GB2312" w:hAnsi="仿宋_GB2312" w:eastAsia="仿宋_GB2312" w:cs="仿宋_GB2312"/>
          <w:b w:val="0"/>
          <w:bCs/>
          <w:color w:val="000000"/>
          <w:kern w:val="2"/>
          <w:sz w:val="32"/>
          <w:szCs w:val="32"/>
          <w:highlight w:val="none"/>
          <w:lang w:val="en-US" w:eastAsia="zh-CN" w:bidi="ar-SA"/>
        </w:rPr>
        <w:t>负责辖区内经济社会发展规划和区域性城市发展规划和编制，经批准后组织实施；对固定资产投资项目进行审核或审批；负责辖区内基础设施的建设与管理；负责辖区内财政管理，实施辖区内财政预算、决算、国有资产管理和财政监督工作；负责招商引资、进出口贸易和国内外经济技术合作工作；负责辖区内环境保护和安全生产监督管理工作；负责辖区内科技、文化、计划生育等社会事务管理工作；负责辖区内人力资源和机构编制管理工作；负责市政府交办的其他事项。</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rPr>
          <w:rStyle w:val="24"/>
          <w:rFonts w:hint="eastAsia" w:ascii="黑体" w:hAnsi="黑体" w:eastAsia="黑体" w:cs="黑体"/>
          <w:b w:val="0"/>
          <w:bCs w:val="0"/>
          <w:color w:val="000000"/>
          <w:sz w:val="32"/>
          <w:szCs w:val="32"/>
          <w:highlight w:val="none"/>
        </w:rPr>
      </w:pPr>
      <w:bookmarkStart w:id="26" w:name="_Toc23856"/>
      <w:bookmarkStart w:id="27" w:name="_Toc5463"/>
      <w:r>
        <w:rPr>
          <w:rFonts w:hint="eastAsia" w:ascii="黑体" w:hAnsi="黑体" w:eastAsia="黑体" w:cs="黑体"/>
          <w:b w:val="0"/>
          <w:color w:val="000000"/>
          <w:sz w:val="32"/>
          <w:szCs w:val="32"/>
          <w:highlight w:val="none"/>
        </w:rPr>
        <w:t>二、机</w:t>
      </w:r>
      <w:r>
        <w:rPr>
          <w:rStyle w:val="24"/>
          <w:rFonts w:hint="eastAsia" w:ascii="黑体" w:hAnsi="黑体" w:eastAsia="黑体" w:cs="黑体"/>
          <w:b w:val="0"/>
          <w:bCs w:val="0"/>
          <w:color w:val="000000"/>
          <w:sz w:val="32"/>
          <w:szCs w:val="32"/>
          <w:highlight w:val="none"/>
        </w:rPr>
        <w:t>构设置</w:t>
      </w:r>
      <w:bookmarkEnd w:id="26"/>
      <w:bookmarkEnd w:id="27"/>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val="0"/>
          <w:bCs/>
          <w:color w:val="000000"/>
          <w:sz w:val="32"/>
          <w:szCs w:val="32"/>
          <w:highlight w:val="none"/>
          <w:lang w:val="en-US" w:eastAsia="zh-CN"/>
        </w:rPr>
        <w:t>广元经济技术开发区管委员会机关设16个内设机构，均为参照公务员法管理的事业单位。纳入广元经开区管委会2022年度部门决算编制范围单位包括：</w:t>
      </w:r>
      <w:r>
        <w:rPr>
          <w:rFonts w:hint="eastAsia" w:ascii="仿宋_GB2312" w:hAnsi="仿宋_GB2312" w:eastAsia="仿宋_GB2312" w:cs="仿宋_GB2312"/>
          <w:bCs/>
          <w:kern w:val="0"/>
          <w:sz w:val="32"/>
          <w:szCs w:val="32"/>
          <w:lang w:eastAsia="zh-CN"/>
        </w:rPr>
        <w:t>管委会办公室、党群人事部、纪检监察工作委员会、发展改革局、财政局、经济合作局、行政审批局、经济商务局、审计局、建设环保局、社会事务保障局、土地房屋征收拆迁补偿办公室、综合治理办公室、农业农村工作局、应急管理局、总工会。</w:t>
      </w:r>
    </w:p>
    <w:p>
      <w:pPr>
        <w:keepNext w:val="0"/>
        <w:keepLines w:val="0"/>
        <w:pageBreakBefore w:val="0"/>
        <w:widowControl w:val="0"/>
        <w:kinsoku/>
        <w:wordWrap/>
        <w:overflowPunct/>
        <w:topLinePunct w:val="0"/>
        <w:autoSpaceDE/>
        <w:autoSpaceDN/>
        <w:bidi w:val="0"/>
        <w:spacing w:line="570" w:lineRule="exact"/>
        <w:jc w:val="both"/>
        <w:textAlignment w:val="auto"/>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both"/>
        <w:textAlignment w:val="auto"/>
        <w:outlineLvl w:val="9"/>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after="0" w:line="570" w:lineRule="exact"/>
        <w:ind w:right="0"/>
        <w:jc w:val="center"/>
        <w:textAlignment w:val="auto"/>
        <w:rPr>
          <w:rStyle w:val="23"/>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bookmarkStart w:id="28" w:name="_Toc4664"/>
      <w:r>
        <w:rPr>
          <w:rFonts w:hint="eastAsia" w:ascii="方正小标宋简体" w:hAnsi="方正小标宋简体" w:eastAsia="方正小标宋简体" w:cs="方正小标宋简体"/>
          <w:b w:val="0"/>
          <w:color w:val="000000" w:themeColor="text1"/>
          <w:sz w:val="44"/>
          <w:szCs w:val="44"/>
          <w:highlight w:val="none"/>
          <w14:textFill>
            <w14:solidFill>
              <w14:schemeClr w14:val="tx1"/>
            </w14:solidFill>
          </w14:textFill>
        </w:rPr>
        <w:t>第二部分</w:t>
      </w:r>
      <w:r>
        <w:rPr>
          <w:rFonts w:hint="eastAsia" w:ascii="方正小标宋简体" w:hAnsi="方正小标宋简体" w:eastAsia="方正小标宋简体" w:cs="方正小标宋简体"/>
          <w:b w:val="0"/>
          <w:color w:val="000000" w:themeColor="text1"/>
          <w:sz w:val="44"/>
          <w:szCs w:val="44"/>
          <w:highlight w:val="none"/>
          <w:lang w:val="en-US" w:eastAsia="zh-CN"/>
          <w14:textFill>
            <w14:solidFill>
              <w14:schemeClr w14:val="tx1"/>
            </w14:solidFill>
          </w14:textFill>
        </w:rPr>
        <w:t xml:space="preserve">  </w:t>
      </w:r>
      <w:r>
        <w:rPr>
          <w:rStyle w:val="23"/>
          <w:rFonts w:hint="eastAsia" w:ascii="方正大标宋简体" w:hAnsi="方正大标宋简体" w:eastAsia="方正大标宋简体" w:cs="方正大标宋简体"/>
          <w:b w:val="0"/>
          <w:bCs w:val="0"/>
          <w:color w:val="000000" w:themeColor="text1"/>
          <w:sz w:val="44"/>
          <w:szCs w:val="44"/>
          <w:highlight w:val="none"/>
          <w14:textFill>
            <w14:solidFill>
              <w14:schemeClr w14:val="tx1"/>
            </w14:solidFill>
          </w14:textFill>
        </w:rPr>
        <w:t>20</w:t>
      </w:r>
      <w:r>
        <w:rPr>
          <w:rStyle w:val="23"/>
          <w:rFonts w:hint="eastAsia" w:ascii="方正大标宋简体" w:hAnsi="方正大标宋简体" w:eastAsia="方正大标宋简体" w:cs="方正大标宋简体"/>
          <w:b w:val="0"/>
          <w:bCs w:val="0"/>
          <w:color w:val="000000" w:themeColor="text1"/>
          <w:sz w:val="44"/>
          <w:szCs w:val="44"/>
          <w:highlight w:val="none"/>
          <w:lang w:val="en-US" w:eastAsia="zh-CN"/>
          <w14:textFill>
            <w14:solidFill>
              <w14:schemeClr w14:val="tx1"/>
            </w14:solidFill>
          </w14:textFill>
        </w:rPr>
        <w:t>22</w:t>
      </w:r>
      <w:r>
        <w:rPr>
          <w:rStyle w:val="23"/>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年度</w:t>
      </w:r>
      <w:r>
        <w:rPr>
          <w:rStyle w:val="23"/>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单位</w:t>
      </w:r>
      <w:r>
        <w:rPr>
          <w:rStyle w:val="23"/>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决算情况说明</w:t>
      </w:r>
      <w:bookmarkEnd w:id="24"/>
      <w:bookmarkEnd w:id="25"/>
      <w:bookmarkEnd w:id="28"/>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1"/>
        <w:rPr>
          <w:rStyle w:val="24"/>
          <w:rFonts w:hint="eastAsia" w:ascii="黑体" w:hAnsi="黑体" w:eastAsia="黑体" w:cs="黑体"/>
          <w:b w:val="0"/>
          <w:color w:val="000000" w:themeColor="text1"/>
          <w:sz w:val="32"/>
          <w:szCs w:val="32"/>
          <w:highlight w:val="none"/>
          <w14:textFill>
            <w14:solidFill>
              <w14:schemeClr w14:val="tx1"/>
            </w14:solidFill>
          </w14:textFill>
        </w:rPr>
      </w:pPr>
      <w:bookmarkStart w:id="29" w:name="_Toc15377205"/>
      <w:bookmarkStart w:id="30" w:name="_Toc15396603"/>
      <w:bookmarkStart w:id="31" w:name="_Toc10758"/>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收</w:t>
      </w:r>
      <w:r>
        <w:rPr>
          <w:rStyle w:val="24"/>
          <w:rFonts w:hint="eastAsia" w:ascii="黑体" w:hAnsi="黑体" w:eastAsia="黑体" w:cs="黑体"/>
          <w:b w:val="0"/>
          <w:color w:val="000000" w:themeColor="text1"/>
          <w:sz w:val="32"/>
          <w:szCs w:val="32"/>
          <w:highlight w:val="none"/>
          <w14:textFill>
            <w14:solidFill>
              <w14:schemeClr w14:val="tx1"/>
            </w14:solidFill>
          </w14:textFill>
        </w:rPr>
        <w:t>入支出决算总体情况说明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Style w:val="24"/>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度收、支总计104166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64</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23606.68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29.30</w:t>
      </w:r>
      <w:r>
        <w:rPr>
          <w:rFonts w:hint="eastAsia" w:ascii="仿宋_GB2312" w:hAnsi="仿宋_GB2312" w:eastAsia="仿宋_GB2312" w:cs="仿宋_GB2312"/>
          <w:color w:val="auto"/>
          <w:sz w:val="32"/>
          <w:szCs w:val="32"/>
          <w:highlight w:val="none"/>
        </w:rPr>
        <w:t>%。主要变动</w:t>
      </w:r>
      <w:r>
        <w:rPr>
          <w:rFonts w:hint="eastAsia" w:ascii="仿宋_GB2312" w:hAnsi="仿宋_GB2312" w:eastAsia="仿宋_GB2312" w:cs="仿宋_GB2312"/>
          <w:color w:val="000000" w:themeColor="text1"/>
          <w:sz w:val="32"/>
          <w:szCs w:val="32"/>
          <w:highlight w:val="none"/>
          <w14:textFill>
            <w14:solidFill>
              <w14:schemeClr w14:val="tx1"/>
            </w14:solidFill>
          </w14:textFill>
        </w:rPr>
        <w:t>原因是</w:t>
      </w:r>
      <w:r>
        <w:rPr>
          <w:rFonts w:hint="eastAsia" w:ascii="仿宋_GB2312" w:hAnsi="仿宋_GB2312" w:eastAsia="仿宋_GB2312" w:cs="仿宋_GB2312"/>
          <w:color w:val="auto"/>
          <w:sz w:val="32"/>
          <w:szCs w:val="32"/>
          <w:highlight w:val="none"/>
          <w:lang w:val="en-US" w:eastAsia="zh-CN"/>
        </w:rPr>
        <w:t>本年土地收入和债券资金增加。</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仿宋_GB2312" w:hAnsi="仿宋_GB2312" w:eastAsia="仿宋_GB2312" w:cs="仿宋_GB2312"/>
          <w:color w:val="auto"/>
          <w:sz w:val="32"/>
          <w:szCs w:val="32"/>
          <w:highlight w:val="none"/>
        </w:rPr>
      </w:pPr>
      <w:bookmarkStart w:id="32" w:name="_Toc11291"/>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165100</wp:posOffset>
            </wp:positionH>
            <wp:positionV relativeFrom="paragraph">
              <wp:posOffset>85725</wp:posOffset>
            </wp:positionV>
            <wp:extent cx="5111115" cy="2105025"/>
            <wp:effectExtent l="5080" t="4445" r="825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auto"/>
          <w:sz w:val="32"/>
          <w:szCs w:val="32"/>
          <w:highlight w:val="none"/>
        </w:rPr>
        <w:t>（图1：收、支决算总计变动情况图）</w:t>
      </w:r>
      <w:bookmarkEnd w:id="32"/>
      <w:bookmarkStart w:id="33" w:name="_Toc15396604"/>
      <w:bookmarkStart w:id="34" w:name="_Toc15377206"/>
    </w:p>
    <w:p>
      <w:pPr>
        <w:pStyle w:val="3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Style w:val="24"/>
          <w:rFonts w:hint="eastAsia" w:ascii="黑体" w:hAnsi="黑体" w:eastAsia="黑体"/>
          <w:b w:val="0"/>
          <w:color w:val="000000" w:themeColor="text1"/>
          <w:highlight w:val="none"/>
          <w14:textFill>
            <w14:solidFill>
              <w14:schemeClr w14:val="tx1"/>
            </w14:solidFill>
          </w14:textFill>
        </w:rPr>
      </w:pPr>
      <w:bookmarkStart w:id="35" w:name="_Toc16079"/>
      <w:r>
        <w:rPr>
          <w:rFonts w:hint="eastAsia" w:ascii="黑体" w:hAnsi="黑体" w:eastAsia="黑体"/>
          <w:color w:val="000000" w:themeColor="text1"/>
          <w:sz w:val="32"/>
          <w:szCs w:val="32"/>
          <w:highlight w:val="none"/>
          <w:lang w:eastAsia="zh-CN"/>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收</w:t>
      </w:r>
      <w:r>
        <w:rPr>
          <w:rStyle w:val="24"/>
          <w:rFonts w:hint="eastAsia" w:ascii="黑体" w:hAnsi="黑体" w:eastAsia="黑体"/>
          <w:b w:val="0"/>
          <w:color w:val="000000" w:themeColor="text1"/>
          <w:highlight w:val="none"/>
          <w14:textFill>
            <w14:solidFill>
              <w14:schemeClr w14:val="tx1"/>
            </w14:solidFill>
          </w14:textFill>
        </w:rPr>
        <w:t>入决算情况说明</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仿宋" w:hAnsi="仿宋" w:eastAsia="仿宋"/>
          <w:color w:val="auto"/>
          <w:sz w:val="32"/>
          <w:szCs w:val="32"/>
          <w:highlight w:val="none"/>
          <w:lang w:eastAsia="zh-CN"/>
        </w:rPr>
      </w:pPr>
      <w:bookmarkStart w:id="36" w:name="_Toc7047"/>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本年收入合计104166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64万元，其中：一般公共预算财政拨款收入</w:t>
      </w:r>
      <w:r>
        <w:rPr>
          <w:rFonts w:hint="eastAsia" w:ascii="仿宋_GB2312" w:hAnsi="仿宋_GB2312" w:eastAsia="仿宋_GB2312" w:cs="仿宋_GB2312"/>
          <w:color w:val="auto"/>
          <w:sz w:val="32"/>
          <w:szCs w:val="32"/>
          <w:highlight w:val="none"/>
          <w:lang w:val="en-US" w:eastAsia="zh-CN"/>
        </w:rPr>
        <w:t>16680.2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16.01</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87486.44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83.99</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6"/>
    </w:p>
    <w:p>
      <w:pPr>
        <w:pStyle w:val="9"/>
        <w:rPr>
          <w:rFonts w:hint="eastAsia"/>
          <w:color w:val="000000" w:themeColor="text1"/>
          <w:highlight w:val="none"/>
          <w14:textFill>
            <w14:solidFill>
              <w14:schemeClr w14:val="tx1"/>
            </w14:solidFill>
          </w14:textFill>
        </w:rPr>
      </w:pPr>
      <w:r>
        <w:rPr>
          <w:rFonts w:hint="eastAsia" w:ascii="仿宋" w:hAnsi="仿宋" w:eastAsia="仿宋"/>
          <w:color w:val="FF0000"/>
          <w:sz w:val="32"/>
          <w:szCs w:val="32"/>
          <w:highlight w:val="none"/>
          <w:lang w:eastAsia="zh-CN"/>
        </w:rPr>
        <w:drawing>
          <wp:anchor distT="0" distB="0" distL="114300" distR="114300" simplePos="0" relativeHeight="251660288" behindDoc="0" locked="0" layoutInCell="1" allowOverlap="1">
            <wp:simplePos x="0" y="0"/>
            <wp:positionH relativeFrom="column">
              <wp:posOffset>721995</wp:posOffset>
            </wp:positionH>
            <wp:positionV relativeFrom="page">
              <wp:posOffset>7555865</wp:posOffset>
            </wp:positionV>
            <wp:extent cx="4098290" cy="1456690"/>
            <wp:effectExtent l="4445" t="4445" r="12065" b="571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jc w:val="center"/>
        <w:rPr>
          <w:rFonts w:hint="eastAsia" w:ascii="仿宋" w:hAnsi="仿宋" w:eastAsia="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rPr>
        <w:t>（图2：收入决算结构图）</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outlineLvl w:val="1"/>
        <w:rPr>
          <w:rStyle w:val="24"/>
          <w:rFonts w:hint="eastAsia" w:ascii="黑体" w:hAnsi="黑体" w:eastAsia="黑体"/>
          <w:b w:val="0"/>
          <w:color w:val="000000" w:themeColor="text1"/>
          <w:highlight w:val="none"/>
          <w14:textFill>
            <w14:solidFill>
              <w14:schemeClr w14:val="tx1"/>
            </w14:solidFill>
          </w14:textFill>
        </w:rPr>
      </w:pPr>
      <w:bookmarkStart w:id="37" w:name="_Toc15377207"/>
      <w:bookmarkStart w:id="38" w:name="_Toc15396605"/>
      <w:r>
        <w:rPr>
          <w:rFonts w:hint="eastAsia" w:ascii="黑体" w:hAnsi="黑体" w:eastAsia="黑体"/>
          <w:color w:val="000000" w:themeColor="text1"/>
          <w:sz w:val="32"/>
          <w:szCs w:val="32"/>
          <w:highlight w:val="none"/>
          <w:lang w:eastAsia="zh-CN"/>
          <w14:textFill>
            <w14:solidFill>
              <w14:schemeClr w14:val="tx1"/>
            </w14:solidFill>
          </w14:textFill>
        </w:rPr>
        <w:t>　　</w:t>
      </w:r>
      <w:bookmarkStart w:id="39" w:name="_Toc26580"/>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支</w:t>
      </w:r>
      <w:r>
        <w:rPr>
          <w:rStyle w:val="24"/>
          <w:rFonts w:hint="eastAsia" w:ascii="黑体" w:hAnsi="黑体" w:eastAsia="黑体"/>
          <w:b w:val="0"/>
          <w:color w:val="000000" w:themeColor="text1"/>
          <w:highlight w:val="none"/>
          <w14:textFill>
            <w14:solidFill>
              <w14:schemeClr w14:val="tx1"/>
            </w14:solidFill>
          </w14:textFill>
        </w:rPr>
        <w:t>出决算情况说明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本年支出合计104166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64万元，其中：基本支出</w:t>
      </w:r>
      <w:r>
        <w:rPr>
          <w:rFonts w:hint="eastAsia" w:ascii="仿宋_GB2312" w:hAnsi="仿宋_GB2312" w:eastAsia="仿宋_GB2312" w:cs="仿宋_GB2312"/>
          <w:color w:val="auto"/>
          <w:sz w:val="32"/>
          <w:szCs w:val="32"/>
          <w:highlight w:val="none"/>
          <w:lang w:val="en-US" w:eastAsia="zh-CN"/>
        </w:rPr>
        <w:t>3224.07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100942.57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96.9</w:t>
      </w:r>
      <w:r>
        <w:rPr>
          <w:rFonts w:hint="eastAsia" w:ascii="仿宋_GB2312" w:hAnsi="仿宋_GB2312" w:eastAsia="仿宋_GB2312" w:cs="仿宋_GB2312"/>
          <w:color w:val="auto"/>
          <w:sz w:val="32"/>
          <w:szCs w:val="32"/>
          <w:highlight w:val="none"/>
        </w:rPr>
        <w:t>%。</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40" w:name="_Toc14524"/>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8480" behindDoc="0" locked="0" layoutInCell="1" allowOverlap="1">
            <wp:simplePos x="0" y="0"/>
            <wp:positionH relativeFrom="column">
              <wp:posOffset>476250</wp:posOffset>
            </wp:positionH>
            <wp:positionV relativeFrom="paragraph">
              <wp:posOffset>123190</wp:posOffset>
            </wp:positionV>
            <wp:extent cx="4731385" cy="2486025"/>
            <wp:effectExtent l="4445" t="4445" r="7620" b="508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41" w:name="_Toc15377208"/>
      <w:bookmarkStart w:id="42" w:name="_Toc15396606"/>
      <w:r>
        <w:rPr>
          <w:rFonts w:hint="eastAsia" w:ascii="仿宋_GB2312" w:hAnsi="仿宋_GB2312" w:eastAsia="仿宋_GB2312" w:cs="仿宋_GB2312"/>
          <w:color w:val="auto"/>
          <w:kern w:val="2"/>
          <w:sz w:val="32"/>
          <w:szCs w:val="32"/>
          <w:highlight w:val="none"/>
          <w:lang w:val="en-US" w:eastAsia="zh-CN" w:bidi="ar-SA"/>
        </w:rPr>
        <w:t>（图3：支出决算结构图）</w:t>
      </w:r>
      <w:bookmarkEnd w:id="40"/>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Style w:val="24"/>
          <w:rFonts w:hint="eastAsia" w:ascii="黑体" w:hAnsi="黑体" w:eastAsia="黑体"/>
          <w:b w:val="0"/>
          <w:color w:val="000000" w:themeColor="text1"/>
          <w:highlight w:val="none"/>
          <w14:textFill>
            <w14:solidFill>
              <w14:schemeClr w14:val="tx1"/>
            </w14:solidFill>
          </w14:textFill>
        </w:rPr>
      </w:pPr>
      <w:bookmarkStart w:id="43" w:name="_Toc19718"/>
      <w:r>
        <w:rPr>
          <w:rFonts w:hint="eastAsia" w:ascii="黑体" w:hAnsi="黑体" w:eastAsia="黑体"/>
          <w:color w:val="000000" w:themeColor="text1"/>
          <w:sz w:val="32"/>
          <w:szCs w:val="32"/>
          <w:highlight w:val="none"/>
          <w14:textFill>
            <w14:solidFill>
              <w14:schemeClr w14:val="tx1"/>
            </w14:solidFill>
          </w14:textFill>
        </w:rPr>
        <w:t>四、财</w:t>
      </w:r>
      <w:r>
        <w:rPr>
          <w:rStyle w:val="24"/>
          <w:rFonts w:hint="eastAsia" w:ascii="黑体" w:hAnsi="黑体" w:eastAsia="黑体"/>
          <w:b w:val="0"/>
          <w:color w:val="000000" w:themeColor="text1"/>
          <w:highlight w:val="none"/>
          <w14:textFill>
            <w14:solidFill>
              <w14:schemeClr w14:val="tx1"/>
            </w14:solidFill>
          </w14:textFill>
        </w:rPr>
        <w:t>政拨款收入支出决算总体情况说明</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Style w:val="24"/>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度收、支总计104166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64</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23606.68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29.30</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本年土地收入和债券资金增加。</w:t>
      </w:r>
    </w:p>
    <w:p>
      <w:pPr>
        <w:pStyle w:val="16"/>
        <w:ind w:left="0" w:leftChars="0" w:firstLine="0" w:firstLineChars="0"/>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300990</wp:posOffset>
            </wp:positionH>
            <wp:positionV relativeFrom="paragraph">
              <wp:posOffset>89535</wp:posOffset>
            </wp:positionV>
            <wp:extent cx="4809490" cy="2218055"/>
            <wp:effectExtent l="4445" t="4445" r="5715" b="635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color w:val="auto"/>
          <w:kern w:val="2"/>
          <w:sz w:val="32"/>
          <w:szCs w:val="32"/>
          <w:highlight w:val="none"/>
          <w:lang w:val="en-US" w:eastAsia="zh-CN" w:bidi="ar-SA"/>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Style w:val="24"/>
          <w:rFonts w:ascii="黑体" w:hAnsi="黑体" w:eastAsia="黑体"/>
          <w:b w:val="0"/>
          <w:color w:val="000000" w:themeColor="text1"/>
          <w:highlight w:val="none"/>
          <w14:textFill>
            <w14:solidFill>
              <w14:schemeClr w14:val="tx1"/>
            </w14:solidFill>
          </w14:textFill>
        </w:rPr>
      </w:pPr>
      <w:bookmarkStart w:id="44" w:name="_Toc16852"/>
      <w:r>
        <w:rPr>
          <w:rFonts w:hint="eastAsia"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b/>
          <w:color w:val="000000" w:themeColor="text1"/>
          <w:sz w:val="32"/>
          <w:szCs w:val="32"/>
          <w:highlight w:val="none"/>
          <w14:textFill>
            <w14:solidFill>
              <w14:schemeClr w14:val="tx1"/>
            </w14:solidFill>
          </w14:textFill>
        </w:rPr>
        <w:t>一</w:t>
      </w:r>
      <w:r>
        <w:rPr>
          <w:rStyle w:val="24"/>
          <w:rFonts w:hint="eastAsia" w:ascii="黑体" w:hAnsi="黑体" w:eastAsia="黑体"/>
          <w:b w:val="0"/>
          <w:color w:val="000000" w:themeColor="text1"/>
          <w:highlight w:val="none"/>
          <w14:textFill>
            <w14:solidFill>
              <w14:schemeClr w14:val="tx1"/>
            </w14:solidFill>
          </w14:textFill>
        </w:rPr>
        <w:t>般公共预算财政拨款支出决算情况说明</w:t>
      </w:r>
      <w:bookmarkEnd w:id="44"/>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16680.2万元</w:t>
      </w:r>
      <w:r>
        <w:rPr>
          <w:rFonts w:hint="eastAsia" w:ascii="仿宋_GB2312" w:hAnsi="仿宋_GB2312" w:eastAsia="仿宋_GB2312" w:cs="仿宋_GB2312"/>
          <w:color w:val="auto"/>
          <w:sz w:val="32"/>
          <w:szCs w:val="32"/>
          <w:highlight w:val="none"/>
        </w:rPr>
        <w:t>，占本年支出合计的</w:t>
      </w:r>
      <w:r>
        <w:rPr>
          <w:rFonts w:hint="eastAsia" w:ascii="仿宋_GB2312" w:hAnsi="仿宋_GB2312" w:eastAsia="仿宋_GB2312" w:cs="仿宋_GB2312"/>
          <w:color w:val="auto"/>
          <w:sz w:val="32"/>
          <w:szCs w:val="32"/>
          <w:highlight w:val="none"/>
          <w:lang w:val="en-US" w:eastAsia="zh-CN"/>
        </w:rPr>
        <w:t>16.01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支出减少</w:t>
      </w:r>
      <w:r>
        <w:rPr>
          <w:rFonts w:hint="eastAsia" w:ascii="仿宋_GB2312" w:hAnsi="仿宋_GB2312" w:eastAsia="仿宋_GB2312" w:cs="仿宋_GB2312"/>
          <w:color w:val="auto"/>
          <w:sz w:val="32"/>
          <w:szCs w:val="32"/>
          <w:highlight w:val="none"/>
          <w:lang w:val="en-US" w:eastAsia="zh-CN"/>
        </w:rPr>
        <w:t>19027.56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53.29</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项目建设</w:t>
      </w:r>
      <w:r>
        <w:rPr>
          <w:rFonts w:hint="eastAsia" w:ascii="仿宋_GB2312" w:hAnsi="仿宋_GB2312" w:eastAsia="仿宋_GB2312" w:cs="仿宋_GB2312"/>
          <w:color w:val="auto"/>
          <w:sz w:val="32"/>
          <w:szCs w:val="32"/>
          <w:highlight w:val="none"/>
          <w:lang w:eastAsia="zh-CN"/>
        </w:rPr>
        <w:t>支出减少。</w:t>
      </w:r>
    </w:p>
    <w:p>
      <w:pPr>
        <w:spacing w:line="600"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82550</wp:posOffset>
            </wp:positionH>
            <wp:positionV relativeFrom="page">
              <wp:posOffset>3543300</wp:posOffset>
            </wp:positionV>
            <wp:extent cx="5157470" cy="3206750"/>
            <wp:effectExtent l="4445" t="4445" r="19685" b="825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rPr>
          <w:rFonts w:hint="eastAsia" w:ascii="仿宋" w:hAnsi="仿宋" w:eastAsia="仿宋"/>
          <w:color w:val="000000" w:themeColor="text1"/>
          <w:sz w:val="32"/>
          <w:szCs w:val="32"/>
          <w:highlight w:val="none"/>
          <w:lang w:eastAsia="zh-CN"/>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rPr>
          <w:rFonts w:hint="eastAsia" w:ascii="仿宋" w:hAnsi="仿宋" w:eastAsia="仿宋"/>
          <w:color w:val="000000" w:themeColor="text1"/>
          <w:sz w:val="32"/>
          <w:szCs w:val="32"/>
          <w:highlight w:val="none"/>
          <w:lang w:eastAsia="zh-CN"/>
          <w14:textFill>
            <w14:solidFill>
              <w14:schemeClr w14:val="tx1"/>
            </w14:solidFill>
          </w14:textFill>
        </w:rPr>
      </w:pPr>
    </w:p>
    <w:p>
      <w:pPr>
        <w:spacing w:line="600" w:lineRule="exact"/>
        <w:rPr>
          <w:rFonts w:hint="eastAsia" w:ascii="仿宋" w:hAnsi="仿宋" w:eastAsia="仿宋"/>
          <w:color w:val="000000" w:themeColor="text1"/>
          <w:sz w:val="32"/>
          <w:szCs w:val="32"/>
          <w:highlight w:val="none"/>
          <w:lang w:eastAsia="zh-CN"/>
          <w14:textFill>
            <w14:solidFill>
              <w14:schemeClr w14:val="tx1"/>
            </w14:solidFill>
          </w14:textFill>
        </w:rPr>
      </w:pPr>
    </w:p>
    <w:p>
      <w:pPr>
        <w:pStyle w:val="9"/>
        <w:rPr>
          <w:rFonts w:hint="eastAsia" w:ascii="仿宋" w:hAnsi="仿宋" w:eastAsia="仿宋"/>
          <w:color w:val="000000" w:themeColor="text1"/>
          <w:sz w:val="32"/>
          <w:szCs w:val="32"/>
          <w:highlight w:val="none"/>
          <w:lang w:eastAsia="zh-CN"/>
          <w14:textFill>
            <w14:solidFill>
              <w14:schemeClr w14:val="tx1"/>
            </w14:solidFill>
          </w14:textFill>
        </w:rPr>
      </w:pPr>
    </w:p>
    <w:p>
      <w:pPr>
        <w:pStyle w:val="11"/>
        <w:rPr>
          <w:rFonts w:hint="eastAsia" w:ascii="仿宋" w:hAnsi="仿宋" w:eastAsia="仿宋"/>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45" w:name="_Toc15377211"/>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（二）一般公共预算财政拨款支出决算结构情况</w:t>
      </w:r>
      <w:bookmarkEnd w:id="45"/>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16680.2</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一般公共服务（类）支出</w:t>
      </w:r>
      <w:r>
        <w:rPr>
          <w:rFonts w:hint="eastAsia" w:ascii="仿宋_GB2312" w:hAnsi="仿宋_GB2312" w:eastAsia="仿宋_GB2312" w:cs="仿宋_GB2312"/>
          <w:color w:val="auto"/>
          <w:sz w:val="32"/>
          <w:szCs w:val="32"/>
          <w:highlight w:val="none"/>
          <w:lang w:val="en-US" w:eastAsia="zh-CN"/>
        </w:rPr>
        <w:t>4065.22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24.37</w:t>
      </w:r>
      <w:r>
        <w:rPr>
          <w:rFonts w:hint="eastAsia" w:ascii="仿宋_GB2312" w:hAnsi="仿宋_GB2312" w:eastAsia="仿宋_GB2312" w:cs="仿宋_GB2312"/>
          <w:color w:val="auto"/>
          <w:sz w:val="32"/>
          <w:szCs w:val="32"/>
          <w:highlight w:val="none"/>
        </w:rPr>
        <w:t>%；国防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6.56万元，占0.04%；</w:t>
      </w:r>
      <w:r>
        <w:rPr>
          <w:rFonts w:hint="eastAsia" w:ascii="仿宋_GB2312" w:hAnsi="仿宋_GB2312" w:eastAsia="仿宋_GB2312" w:cs="仿宋_GB2312"/>
          <w:color w:val="auto"/>
          <w:sz w:val="32"/>
          <w:szCs w:val="32"/>
          <w:highlight w:val="none"/>
        </w:rPr>
        <w:t>公共安全（类）支出</w:t>
      </w:r>
      <w:r>
        <w:rPr>
          <w:rFonts w:hint="eastAsia" w:ascii="仿宋_GB2312" w:hAnsi="仿宋_GB2312" w:eastAsia="仿宋_GB2312" w:cs="仿宋_GB2312"/>
          <w:color w:val="auto"/>
          <w:sz w:val="32"/>
          <w:szCs w:val="32"/>
          <w:highlight w:val="none"/>
          <w:lang w:val="en-US" w:eastAsia="zh-CN"/>
        </w:rPr>
        <w:t>1.58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科学技术（类）支出</w:t>
      </w:r>
      <w:r>
        <w:rPr>
          <w:rFonts w:hint="eastAsia" w:ascii="仿宋_GB2312" w:hAnsi="仿宋_GB2312" w:eastAsia="仿宋_GB2312" w:cs="仿宋_GB2312"/>
          <w:color w:val="auto"/>
          <w:sz w:val="32"/>
          <w:szCs w:val="32"/>
          <w:highlight w:val="none"/>
          <w:lang w:val="en-US" w:eastAsia="zh-CN"/>
        </w:rPr>
        <w:t>56.53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0.34</w:t>
      </w:r>
      <w:r>
        <w:rPr>
          <w:rFonts w:hint="eastAsia" w:ascii="仿宋_GB2312" w:hAnsi="仿宋_GB2312" w:eastAsia="仿宋_GB2312" w:cs="仿宋_GB2312"/>
          <w:color w:val="auto"/>
          <w:sz w:val="32"/>
          <w:szCs w:val="32"/>
          <w:highlight w:val="none"/>
        </w:rPr>
        <w:t>%；文化</w:t>
      </w:r>
      <w:r>
        <w:rPr>
          <w:rFonts w:hint="eastAsia" w:ascii="仿宋_GB2312" w:hAnsi="仿宋_GB2312" w:eastAsia="仿宋_GB2312" w:cs="仿宋_GB2312"/>
          <w:color w:val="auto"/>
          <w:sz w:val="32"/>
          <w:szCs w:val="32"/>
          <w:highlight w:val="none"/>
          <w:lang w:val="en-US" w:eastAsia="zh-CN"/>
        </w:rPr>
        <w:t>旅游</w:t>
      </w:r>
      <w:r>
        <w:rPr>
          <w:rFonts w:hint="eastAsia" w:ascii="仿宋_GB2312" w:hAnsi="仿宋_GB2312" w:eastAsia="仿宋_GB2312" w:cs="仿宋_GB2312"/>
          <w:color w:val="auto"/>
          <w:sz w:val="32"/>
          <w:szCs w:val="32"/>
          <w:highlight w:val="none"/>
        </w:rPr>
        <w:t>体育与传媒（类）支出</w:t>
      </w:r>
      <w:r>
        <w:rPr>
          <w:rFonts w:hint="eastAsia" w:ascii="仿宋_GB2312" w:hAnsi="仿宋_GB2312" w:eastAsia="仿宋_GB2312" w:cs="仿宋_GB2312"/>
          <w:color w:val="auto"/>
          <w:sz w:val="32"/>
          <w:szCs w:val="32"/>
          <w:highlight w:val="none"/>
          <w:lang w:val="en-US" w:eastAsia="zh-CN"/>
        </w:rPr>
        <w:t>28.25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3379.77</w:t>
      </w:r>
      <w:r>
        <w:rPr>
          <w:rFonts w:hint="eastAsia" w:ascii="仿宋_GB2312" w:hAnsi="仿宋_GB2312" w:eastAsia="仿宋_GB2312" w:cs="仿宋_GB2312"/>
          <w:color w:val="auto"/>
          <w:sz w:val="32"/>
          <w:szCs w:val="32"/>
          <w:highlight w:val="none"/>
        </w:rPr>
        <w:t xml:space="preserve"> 万元，占</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w:t>
      </w:r>
      <w:r>
        <w:rPr>
          <w:rFonts w:hint="eastAsia" w:ascii="仿宋_GB2312" w:hAnsi="仿宋_GB2312" w:eastAsia="仿宋_GB2312" w:cs="仿宋_GB2312"/>
          <w:color w:val="auto"/>
          <w:sz w:val="32"/>
          <w:szCs w:val="32"/>
          <w:highlight w:val="none"/>
        </w:rPr>
        <w:t>支出（类）</w:t>
      </w:r>
      <w:r>
        <w:rPr>
          <w:rFonts w:hint="eastAsia" w:ascii="仿宋_GB2312" w:hAnsi="仿宋_GB2312" w:eastAsia="仿宋_GB2312" w:cs="仿宋_GB2312"/>
          <w:color w:val="auto"/>
          <w:sz w:val="32"/>
          <w:szCs w:val="32"/>
          <w:highlight w:val="none"/>
          <w:lang w:val="en-US" w:eastAsia="zh-CN"/>
        </w:rPr>
        <w:t>791.27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4.74</w:t>
      </w:r>
      <w:r>
        <w:rPr>
          <w:rFonts w:hint="eastAsia" w:ascii="仿宋_GB2312" w:hAnsi="仿宋_GB2312" w:eastAsia="仿宋_GB2312" w:cs="仿宋_GB2312"/>
          <w:color w:val="auto"/>
          <w:sz w:val="32"/>
          <w:szCs w:val="32"/>
          <w:highlight w:val="none"/>
        </w:rPr>
        <w:t>%；节能环保（类）支出</w:t>
      </w:r>
      <w:r>
        <w:rPr>
          <w:rFonts w:hint="eastAsia" w:ascii="仿宋_GB2312" w:hAnsi="仿宋_GB2312" w:eastAsia="仿宋_GB2312" w:cs="仿宋_GB2312"/>
          <w:color w:val="auto"/>
          <w:sz w:val="32"/>
          <w:szCs w:val="32"/>
          <w:highlight w:val="none"/>
          <w:lang w:val="en-US" w:eastAsia="zh-CN"/>
        </w:rPr>
        <w:t>465.8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2.79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；城乡社区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1744.15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10.46%</w:t>
      </w:r>
      <w:r>
        <w:rPr>
          <w:rFonts w:hint="eastAsia" w:ascii="仿宋_GB2312" w:hAnsi="仿宋_GB2312" w:eastAsia="仿宋_GB2312" w:cs="仿宋_GB2312"/>
          <w:color w:val="auto"/>
          <w:sz w:val="32"/>
          <w:szCs w:val="32"/>
          <w:highlight w:val="none"/>
          <w:lang w:eastAsia="zh-CN"/>
        </w:rPr>
        <w:t>；农林水</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948.17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5.68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；交通运输支出（类）</w:t>
      </w:r>
      <w:r>
        <w:rPr>
          <w:rFonts w:hint="eastAsia" w:ascii="仿宋_GB2312" w:hAnsi="仿宋_GB2312" w:eastAsia="仿宋_GB2312" w:cs="仿宋_GB2312"/>
          <w:color w:val="auto"/>
          <w:sz w:val="32"/>
          <w:szCs w:val="32"/>
          <w:highlight w:val="none"/>
          <w:lang w:val="en-US" w:eastAsia="zh-CN"/>
        </w:rPr>
        <w:t>1009万元，占6.05%；</w:t>
      </w:r>
      <w:r>
        <w:rPr>
          <w:rFonts w:hint="eastAsia" w:ascii="仿宋_GB2312" w:hAnsi="仿宋_GB2312" w:eastAsia="仿宋_GB2312" w:cs="仿宋_GB2312"/>
          <w:color w:val="auto"/>
          <w:sz w:val="32"/>
          <w:szCs w:val="32"/>
          <w:highlight w:val="none"/>
          <w:lang w:eastAsia="zh-CN"/>
        </w:rPr>
        <w:t>资源勘探信息等</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78.66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；商业服务业等</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76.37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住房保障（类）支出</w:t>
      </w:r>
      <w:r>
        <w:rPr>
          <w:rFonts w:hint="eastAsia" w:ascii="仿宋_GB2312" w:hAnsi="仿宋_GB2312" w:eastAsia="仿宋_GB2312" w:cs="仿宋_GB2312"/>
          <w:color w:val="auto"/>
          <w:sz w:val="32"/>
          <w:szCs w:val="32"/>
          <w:highlight w:val="none"/>
          <w:lang w:val="en-US" w:eastAsia="zh-CN"/>
        </w:rPr>
        <w:t>3817.92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22.89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粮食物资储备支出（类）支出</w:t>
      </w:r>
      <w:r>
        <w:rPr>
          <w:rFonts w:hint="eastAsia" w:ascii="仿宋_GB2312" w:hAnsi="仿宋_GB2312" w:eastAsia="仿宋_GB2312" w:cs="仿宋_GB2312"/>
          <w:color w:val="auto"/>
          <w:sz w:val="32"/>
          <w:szCs w:val="32"/>
          <w:highlight w:val="none"/>
          <w:lang w:val="en-US" w:eastAsia="zh-CN"/>
        </w:rPr>
        <w:t>3.75万元，占0.02%；灾害防治及应急管理（类）支出87.2万元，占0.52%；其他（类）支出120万元，占0.72%</w:t>
      </w:r>
      <w:r>
        <w:rPr>
          <w:rFonts w:hint="eastAsia" w:ascii="仿宋_GB2312" w:hAnsi="仿宋_GB2312" w:eastAsia="仿宋_GB2312" w:cs="仿宋_GB2312"/>
          <w:color w:val="auto"/>
          <w:sz w:val="32"/>
          <w:szCs w:val="32"/>
          <w:highlight w:val="none"/>
        </w:rPr>
        <w:t>。</w:t>
      </w:r>
      <w:bookmarkStart w:id="46" w:name="_Toc15377212"/>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153035</wp:posOffset>
            </wp:positionH>
            <wp:positionV relativeFrom="paragraph">
              <wp:posOffset>50800</wp:posOffset>
            </wp:positionV>
            <wp:extent cx="5248275" cy="3306445"/>
            <wp:effectExtent l="4445" t="4445" r="5080" b="2286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（三）一般公共预算财政拨款支出决算具体情况</w:t>
      </w:r>
      <w:bookmarkEnd w:id="46"/>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bookmarkStart w:id="47" w:name="_Toc15378460"/>
      <w:bookmarkStart w:id="48" w:name="_Toc15377213"/>
      <w:bookmarkStart w:id="49" w:name="_Toc15377444"/>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16680.2</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w:t>
      </w:r>
      <w:bookmarkEnd w:id="47"/>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textAlignment w:val="auto"/>
        <w:rPr>
          <w:rStyle w:val="21"/>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支出决算为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4065.22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万元，完成预算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03（款）行政运行01（项）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：支出决算为2409.91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一般行政管理事务02</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：支出决算为344.39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机关服务03</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：支出决算为252.65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专项业务及机关事务管理05</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：支出决算为7.4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信访事务08</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：支出决算为9.56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其他政府办公厅（室）及相关机构事务支出99</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：支出决算为42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hAnsi="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（款）行政运行01（项）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：支出决算为20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hAnsi="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战略规划与实施04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：支出决算为15.9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　</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hAnsi="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日常经济运行调节05</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：支出决算为34.86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hAnsi="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其他发展与改革事务支出99</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：支出决算为32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统计信息事务</w:t>
      </w:r>
      <w:r>
        <w:rPr>
          <w:rFonts w:hint="eastAsia" w:hAnsi="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其他统计信息事务支出99</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：支出决算为107.61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9"/>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财政事务</w:t>
      </w:r>
      <w:r>
        <w:rPr>
          <w:rFonts w:hint="eastAsia" w:hAnsi="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一般行政管理事务02</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：支出决算为7.69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一般公共服务支出201（类）财政事务06（款）预算改革业务04（项）：支出决算为19.88万元，完成预算100%。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一般公共服务支出201（类）财政事务06（款）财政委托业务支出08（项）：支出决算为60.57万元，完成预算100%。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一般公共服务支出201（类）财政事务06（款）其他财政事务支出99（项）：支出决算为40万元，完成预算100%。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一般公共服务支出201（类）审计事务08（款）一般行政管理事务02（项）：支出决算为1.47万元，完成预算100%。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一般公共服务支出201（类）审计事务08（款）审计业务04（项）：支出决算为75.58万元，完成预算100%。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一般公共服务支出201（类）纪检监察事务11（款）大案要案专查处04（项）：支出决算为14.52万元，完成预算100%。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一般公共服务支出201（类）纪检监察事务11（款）其他纪检监察事务支出99（项）：支出决算为4.58万元，完成预算100%。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一般公共服务支出201（类）商贸事务13（款）招商引资08（项）：支出决算为210.03万元，完成预算100%。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一般公共服务支出201（类）商贸事务13（款）其他商贸事务支出99（项）：支出决算为9.01万元，完成预算100%。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一般公共服务支出201（类）档案事务26（款）其他档案事务支出99（项）：支出决算为9.6万元，完成预算100%。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一般公共服务支出201（类）群众团体事务29（款）其他群众团体事务支出99（项）：支出决算为81.68万元，完成预算100%。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一般公共服务支出201（类）组织事务32（款）一般行政管理事务02（项）：支出决算为81.83万元，完成预算100%。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一般公共服务支出201（类）组织事务32（款）机关服务03（项）：支出决算为5万元，完成预算100%。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一般公共服务支出201（类）组织事务32（款）其他组织事务支出99（项）：支出决算为9.39万元，完成预算100%。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一般公共服务支出201（类）宣传事务33（款）其他宣传事务支出99（项）：支出决算为106.1万元，完成预算100%。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一般公共服务支出201（类）其他一般公共服务支出99（款）其他一般公共服务支出99（项）：支出决算为52.02万元，完成预算100%。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textAlignment w:val="auto"/>
        <w:rPr>
          <w:rFonts w:hint="eastAsia"/>
          <w:spacing w:val="0"/>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　　2.国防支出203（类）：支出决算为6.56万元，完成预算100%。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国防支出203（类）国防动员06（款）兵役征集01（项）：支出决算为1.66万元，完成预算100%。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国防支出203（类）国防动员06（款）民兵（项）：支出决算为4.9万元，完成预算100%。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3.公共安全支出204（类）其他公共安全支出99（款）其他公共安全支出99（项）：支出决算为1.58万元，完成预算100%。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default"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４.科学技术206（类）：支出决算为56.53万元，完成预算100%。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科学技术206（类）技术研究与开发04（款）其他技术研究与开发支出99（项）：支出决算为7.14万元，完成预算100%。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科学技术206（类）科学技术普及07（款）机构运行01（项）：支出决算为49.39万元，完成预算100%。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default"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5.文化旅游体育与传媒支出207（类）：支出决算为28.25万元，完成预算100%。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文化旅游体育与传媒支出207（类）文化和旅游01（款）群众文化09（项）：支出决算为4.3万元，完成预算100%。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文化旅游体育与传媒支出207（类）体育03（款）其他体育支出99（项）：支出决算为22万元，完成预算100%。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文化旅游体育与传媒支出207（类）新闻出版电影06（款）电影07（项）：支出决算为1.43万元，完成预算100%。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文化旅游体育与传媒支出207（类）新闻出版电影06（款）其他新闻出版电影支出99（项）：支出决算为0.52万元，完成预算100%。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6.社会保障和就业支出208（类）：支出决算为3379.77万元，完成预算100%。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textAlignment w:val="auto"/>
        <w:rPr>
          <w:rFonts w:hint="default"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　　社会保障和就业支出208（类）人力资源和社会保障管理事务01（款）劳动保障监察05（项）：支出决算为3.58万元，完成预算100%。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社会保障和就业支出208（类）人力资源和社会保障管理事务01（款）其他人力资源和社会保障管理事务支出99（项）：支出决算为646.61万元，完成预算100%。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社会保障和就业支出208（类）民政管理事务02（款）其他民政管理事务支出99（项）：支出决算为15.26万元，完成预算100%。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社会保障和就业支出208（类）行政事业单位养老支出05（款）行政单位离退休01（项）：支出决算为29.96万元，完成预算100%。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社会保障和就业支出208（类）行政事业单位养老支出05（款）机关事业单位基本养老保险缴费支出05（项）：支出决算为245.66万元，完成预算100%。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社会保障和就业支出208（类）行政事业单位养老支出05（款）机关事业单位职业年金缴费支出06（项）：支出决算为97.92万元，完成预算100%。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社会保障和就业支出208（类）就业补助07（款）其他就业补助支出99（项）：支出决算为861.58万元，完成预算100%。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社会保障和就业支出208（类）抚恤08（款）死亡抚恤01（项）：支出决算为2.12万元，完成预算100%。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社会保障和就业支出208（类）抚恤08（款）伤残抚恤02（项）：支出决算为18.64万元，完成预算100%。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社会保障和就业支出208（类）抚恤08（款）在乡复员、退伍军人生活补助03（项）：支出决算为95.6万元，完成预算100%。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社会保障和就业支出208（类）抚恤08（款）义务兵优待05（项）：支出决算为106.97万元，完成预算100%。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社会保障和就业支出208（类）抚恤08（款）其他优抚支出99（项）：支出决算为308.26万元，完成预算100%。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社会保障和就业支出208（类）退役安置09（款）退役士兵安置01（项）：支出决算为77.68万元，完成预算100%。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社会保障和就业支出208（类）退役安置09（款）退役士兵管理教育04（项）：支出决算为5.51万元，完成预算100%。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社会保障和就业支出208（类）退役安置09（款）其他退役士兵安置支出99（项）：支出决算为14.33万元，完成预算100%。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社会保障和就业支出208（类）社会福利10（款）养老服务06（项）：支出决算为29.18万元，完成预算100%。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社会保障和就业支出208（类）社会福利10（款）其他社会福利支出99（项）：支出决算为79.05万元，完成预算100%。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社会保障和就业支出208（类）残疾人事业11（款）残疾人康复04（项）：支出决算为3.01万元，完成预算100%。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社会保障和就业支出208（类）残疾人事业11（款）残疾人就业05（项）：支出决算为12.88万元，完成预算100%。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社会保障和就业支出208（类）残疾人事业11（款）残疾人生活和护理补贴07（项）：支出决算为47.95万元，完成预算100%。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社会保障和就业支出208（类）残疾人事业11（款）其他残疾人事业支出99（项）：支出决算为55.42万元，完成预算100%。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社会保障和就业支出208（类）最低生活保障19（款）城市最低生活保障金支出01（项）：支出决算为62.37万元，完成预算100%。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社会保障和就业支出208（类）最低生活保障19（款）农村最低生活保障金支出02（项）：支出决算为50万元，完成预算100%。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社会保障和就业支出208（类）临时救助20（款）临时救助支出（项）：支出决算为34.4万元，完成预算100%。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社会保障和就业支出208（类）退役军人管理事务28（款）拥军优属04（项）：支出决算为90.96万元，完成预算100%。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社会保障和就业支出208（类）退役军人管理事务28（款）其他退役军人事务管理支出99（项）：支出决算为29.92万元，完成预算100%。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社会保障和就业支出208（类）财政代缴社会保险支出30（款）社会代缴其他社会保险费支出99（项）：支出决算为150万元，完成预算100%。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社会保障和就业支出208（类）其他社会保障和就业支出99（款）其他社会保障和就业支出99（项）：支出决算为204.95万元，完成预算100%。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7.卫生健康支出210（类）：支出决算为791.27万元，完成预算100%。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卫生健康支出210（类）卫生健康管理事务01（款）其他卫生健康管理事务支出99（项）：支出决算为31.17万元，完成预算100%。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卫生健康支出210（类）基层医疗卫生机构03（款）乡镇卫生院02（项）：支出决算为20万元，完成预算100%。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卫生健康支出210（类）公共卫生04（款）基本公共卫生服务08（项）：支出决算为5.56万元，完成预算100%。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卫生健康支出210（类）公共卫生04（款）突发公共卫生事件应急处理10（项）：支出决算为19.98万元，完成预算100%。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卫生健康支出210（类）公共卫生04（款）其他公共卫生支出99（项）：支出决算为77.96万元，完成预算100%。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卫生健康支出210（类）计划生育事务07（款）计划生育服务17（项）：支出决算为53.09万元，完成预算100%。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卫生健康支出210（类）计划生育事务07（款）其他计划生育事务支出99（项）：支出决算为131.33万元，完成预算100%。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卫生健康支出210（类）行政事业单位医疗11（款）行政单位医疗01（项）：支出决算为122.83万元，完成预算100%。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卫生健康支出210（类）医疗救助13（款）城乡医疗救助01（项）：支出决算为314.87万元，完成预算100%。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卫生健康支出210（类）优抚对象医疗14（款）优抚对象医疗补助01（项）：支出决算为9.1万元，完成预算100%。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卫生健康支出210（类）优抚对象医疗14（款）其他优抚对象医疗支出99（项）：支出决算为5.37万元，完成预算100%。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8.节能环保支出（类）：支出决算为465.8万元，完成预算100%。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节能环保支出211（类）污染防治03（款）水体02（项）：支出决算为458.8万元，完成预算100%。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节能环保支出211（类）自然生态保护04（款）农村环境保护02（项）：支出决算为7万元，完成预算100%。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9.城乡社区支出212（类）：支出决算为1744.15万元，完成预算100%。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节能环保支出212（类）城乡社区管理事务01（款）住宅建设与房地产市场监管09（项）：支出决算为5万元，完成预算100%。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节能环保支出212（类）城乡社区规划与管理02（款）城乡社区规划与管理01（项）：支出决算为38.04万元，完成预算100%。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节能环保支出212（类）城乡社区公共设施03（款）其他城乡社区公共设施支出99（项）：支出决算为670.32万元，完成预算100%。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节能环保支出212（类）城乡社区环境卫生05（款）城乡社区环境卫生01（项）：支出决算为832万元，完成预算100%。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节能环保支出212（类）其他城乡社区支出99（款）其他城乡社区支出99（项）：支出决算为198.78万元，完成预算100%。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10.农林水支出213（类）：支出决算为948.17万元，完成预算100%。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农林水支出213（类）农业农村01（款）病虫害控制08（项）：支出决算为29.99万元，完成预算100%。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农林水支出213（类）农业农村01（款）农产品质量安全09（项）：支出决算为10.79万元，完成预算100%。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农林水支出213（类）林业和草原02（款）林业草原防灾减灾34（项）：支出决算为80.1万元，完成预算100%。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农林水支出213（类）林业和草原02（款）其他林业和草原支出99（项）：支出决算为160.88万元，完成预算100%。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农林水支出213（类）水利03（款）防汛14（项）：支出决算为4.56万元，完成预算100%。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农林水支出213（类）水利03（款）其他水利支出99（项）：支出决算为122.02万元，完成预算100%。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农林水支出213（类）巩固脱贫衔接乡村振兴05（款）农村基础设施建设04（项）：支出决算为15万元，完成预算100%。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农林水支出213（类）巩固脱贫衔接乡村振兴05（款）生产发展05（项）：支出决算为11.62万元，完成预算100%。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农林水支出213（类）巩固脱贫衔接乡村振兴05（款）贷款奖补和贴息07（项）：支出决算为0.25万元，完成预算100%。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农林水支出213（类）巩固脱贫衔接乡村振兴05（款）其他巩固脱贫衔接乡村振兴支出99（项）：支出决算为6万元，完成预算100%。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农林水支出213（类）农村综合改革07（款）对村民委员会和村党支部的补助05（项）：支出决算为5.76万元，完成预算100%。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农林水支出213（类）普惠金融发展支出08（款）农业保险保费补贴03（项）：支出决算为3.8万元，完成预算100%。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农林水支出213（类）普惠金融发展支出08（款）创业担保贷款贴息及奖补04（项）：支出决算为11.43万元，完成预算100%。</w:t>
      </w:r>
    </w:p>
    <w:p>
      <w:pPr>
        <w:pStyle w:val="11"/>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农林水支出213（类）其他农林水支出99（款）其他农林水支出99（项）：支出决算为485.97万元，完成预算100%。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11.交通运输支出214（类）其他交通运输支出99（款）其他交通运输支出99（项）：支出决算为1009万元，完成预算100%。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12.资源勘探工业信息等支出215（类）：支出决算为78.66万元，完成预算100%。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资源勘探工业信息等支出215（类）制造业02（款）其他制造业99（项）：支出决算为44.37万元，完成预算100%。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资源勘探工业信息等支出215（类）工业和信息产业监管05（款）产业发展17（项）：支出决算为29.54万元，完成预算100%。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资源勘探工业信息等支出215（类）工业和信息产业监管05（款）其他工业和信息产业监管支出99（项）：支出决算为4.74万元，完成预算100%。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13.商业服务业等支出216（类）其他商业服务业等支出99（款）其他商业服务业等支出99（项）：支出决算为76.37万元，完成预算100%。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14.住房保障支出221（类）：支出决算为3817.92万元，完成预算100%。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住房保障支出221（类）保障性安居工程支出01（款）公共租赁住房06（项）：支出决算为3176万元，完成预算100%。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住房保障支出221（类）保障性安居工程支出01（款）老旧小区改造08（项）：支出决算为395.63万元，完成预算100%。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住房保障支出221（类）住房改革支出02（款）住房公积金01（项）：支出决算为246.29万元，完成预算100%。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15.粮油物资储备支出222（类）重要商品储备05（款）应急物资储备11（项）：支出决算为3.76万元，完成预算100%。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16.灾害防治及应急管理支出224（类）：支出决算为87.21万元，完成预算100%。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灾害防治及应急管理支出224（类）应急管理事务01（款）机关服务03（项）：支出决算为14.17万元，完成预算100%。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灾害防治及应急管理支出224（类）应急管理事务01（款）灾害风险防治04（项）：支出决算为9.68万元，完成预算100%。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灾害防治及应急管理支出（类）应急管理事务01（款）安全监管06（项）：支出决算为16.14万元，完成预算100%。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灾害防治及应急管理支出224（类）应急管理事务01（款）应急救援08（项）：支出决算为10.77万元，完成预算100%。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灾害防治及应急管理支出（类）应急管理事务01（款）应急管理09（项）：支出决算为1.94万元，完成预算100%。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灾害防治及应急管理支出224（类）应急管理事务01（款）其他应急管理支出99（项）：支出决算为4.57万元，完成预算100%。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灾害防治及应急管理支出224（类）自然灾害防治06（款）地质灾害防治01（项）：支出决算为3万元，完成预算100%。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灾害防治及应急管理支出224（类）自然灾害防治06（款）森林草原防灾减灾02（项）：支出决算为1.94万元，完成预算100%。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灾害防治及应急管理支出224（类）自然灾害救灾及恢复重建支出07（款）自然灾害救灾补助03（项）：支出决算为25万元，完成预算100%。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17.其他支出229（类）其他支出99（款）其他支出99（项）：支出决算为120万元，完成预算100%。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outlineLvl w:val="1"/>
        <w:rPr>
          <w:rStyle w:val="24"/>
          <w:color w:val="000000" w:themeColor="text1"/>
          <w:spacing w:val="0"/>
          <w:highlight w:val="none"/>
          <w14:textFill>
            <w14:solidFill>
              <w14:schemeClr w14:val="tx1"/>
            </w14:solidFill>
          </w14:textFill>
        </w:rPr>
      </w:pPr>
      <w:bookmarkStart w:id="50" w:name="_Toc15396608"/>
      <w:bookmarkStart w:id="51" w:name="_Toc15377214"/>
      <w:bookmarkStart w:id="52" w:name="_Toc14940"/>
      <w:r>
        <w:rPr>
          <w:rFonts w:hint="eastAsia" w:ascii="黑体" w:eastAsia="黑体"/>
          <w:color w:val="000000" w:themeColor="text1"/>
          <w:spacing w:val="0"/>
          <w:sz w:val="32"/>
          <w:szCs w:val="32"/>
          <w:highlight w:val="none"/>
          <w14:textFill>
            <w14:solidFill>
              <w14:schemeClr w14:val="tx1"/>
            </w14:solidFill>
          </w14:textFill>
        </w:rPr>
        <w:t>六</w:t>
      </w:r>
      <w:r>
        <w:rPr>
          <w:rFonts w:hint="eastAsia" w:ascii="黑体" w:eastAsia="黑体"/>
          <w:b/>
          <w:color w:val="000000" w:themeColor="text1"/>
          <w:spacing w:val="0"/>
          <w:sz w:val="32"/>
          <w:szCs w:val="32"/>
          <w:highlight w:val="none"/>
          <w14:textFill>
            <w14:solidFill>
              <w14:schemeClr w14:val="tx1"/>
            </w14:solidFill>
          </w14:textFill>
        </w:rPr>
        <w:t>、</w:t>
      </w:r>
      <w:r>
        <w:rPr>
          <w:rFonts w:hint="eastAsia" w:ascii="黑体" w:hAnsi="黑体" w:eastAsia="黑体"/>
          <w:b/>
          <w:color w:val="000000" w:themeColor="text1"/>
          <w:spacing w:val="0"/>
          <w:sz w:val="32"/>
          <w:szCs w:val="32"/>
          <w:highlight w:val="none"/>
          <w14:textFill>
            <w14:solidFill>
              <w14:schemeClr w14:val="tx1"/>
            </w14:solidFill>
          </w14:textFill>
        </w:rPr>
        <w:t>一</w:t>
      </w:r>
      <w:r>
        <w:rPr>
          <w:rStyle w:val="24"/>
          <w:rFonts w:hint="eastAsia" w:ascii="黑体" w:hAnsi="黑体" w:eastAsia="黑体"/>
          <w:b w:val="0"/>
          <w:color w:val="000000" w:themeColor="text1"/>
          <w:spacing w:val="0"/>
          <w:highlight w:val="none"/>
          <w14:textFill>
            <w14:solidFill>
              <w14:schemeClr w14:val="tx1"/>
            </w14:solidFill>
          </w14:textFill>
        </w:rPr>
        <w:t>般公共预算财政拨款基本支出决算情况说明</w:t>
      </w:r>
      <w:bookmarkEnd w:id="50"/>
      <w:bookmarkEnd w:id="51"/>
      <w:bookmarkEnd w:id="52"/>
      <w:r>
        <w:rPr>
          <w:rStyle w:val="24"/>
          <w:rFonts w:ascii="黑体" w:hAnsi="黑体" w:eastAsia="黑体"/>
          <w:b w:val="0"/>
          <w:color w:val="000000" w:themeColor="text1"/>
          <w:spacing w:val="0"/>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20</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一般公共预算财政拨款基本支出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3224.07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人员经费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2729.03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万元，主要包括：基本工资、津贴补贴、奖金、机关事业单位基本养老保险缴费、职业年金缴费、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职工基本医疗保险缴费、</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其他社会保障缴费、住房公积金</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其他工资福利支出、抚恤金、生活补助</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、其他对个人和家庭的补助</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b/>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　公用经费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495.04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万元，主要包括：办公费、印刷费、咨询费、邮电费、差旅费、维修（护）费、租赁费、会议费、培训费、公务接待费、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专用材料费、</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劳务费、委托业务费、工会经费、福利费、其他交通费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用</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、其他商品和服务支出。</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outlineLvl w:val="1"/>
        <w:rPr>
          <w:rStyle w:val="24"/>
          <w:rFonts w:ascii="黑体" w:hAnsi="黑体" w:eastAsia="黑体"/>
          <w:b w:val="0"/>
          <w:color w:val="000000" w:themeColor="text1"/>
          <w:spacing w:val="0"/>
          <w:highlight w:val="none"/>
          <w14:textFill>
            <w14:solidFill>
              <w14:schemeClr w14:val="tx1"/>
            </w14:solidFill>
          </w14:textFill>
        </w:rPr>
      </w:pPr>
      <w:bookmarkStart w:id="53" w:name="_Toc18463"/>
      <w:bookmarkStart w:id="54" w:name="_Toc15377215"/>
      <w:bookmarkStart w:id="55" w:name="_Toc15396609"/>
      <w:r>
        <w:rPr>
          <w:rFonts w:hint="eastAsia" w:ascii="黑体" w:eastAsia="黑体"/>
          <w:color w:val="000000" w:themeColor="text1"/>
          <w:spacing w:val="0"/>
          <w:sz w:val="32"/>
          <w:szCs w:val="32"/>
          <w:highlight w:val="none"/>
          <w14:textFill>
            <w14:solidFill>
              <w14:schemeClr w14:val="tx1"/>
            </w14:solidFill>
          </w14:textFill>
        </w:rPr>
        <w:t>七、</w:t>
      </w:r>
      <w:r>
        <w:rPr>
          <w:rStyle w:val="24"/>
          <w:rFonts w:hint="eastAsia" w:ascii="黑体" w:hAnsi="黑体" w:eastAsia="黑体"/>
          <w:b w:val="0"/>
          <w:color w:val="000000" w:themeColor="text1"/>
          <w:spacing w:val="0"/>
          <w:highlight w:val="none"/>
          <w14:textFill>
            <w14:solidFill>
              <w14:schemeClr w14:val="tx1"/>
            </w14:solidFill>
          </w14:textFill>
        </w:rPr>
        <w:t>财政拨款</w:t>
      </w:r>
      <w:r>
        <w:rPr>
          <w:rStyle w:val="24"/>
          <w:rFonts w:hint="eastAsia" w:ascii="黑体" w:hAnsi="黑体" w:eastAsia="黑体"/>
          <w:color w:val="000000" w:themeColor="text1"/>
          <w:spacing w:val="0"/>
          <w:highlight w:val="none"/>
          <w14:textFill>
            <w14:solidFill>
              <w14:schemeClr w14:val="tx1"/>
            </w14:solidFill>
          </w14:textFill>
        </w:rPr>
        <w:t>“</w:t>
      </w:r>
      <w:r>
        <w:rPr>
          <w:rStyle w:val="24"/>
          <w:rFonts w:hint="eastAsia" w:ascii="黑体" w:hAnsi="黑体" w:eastAsia="黑体"/>
          <w:b w:val="0"/>
          <w:color w:val="000000" w:themeColor="text1"/>
          <w:spacing w:val="0"/>
          <w:highlight w:val="none"/>
          <w14:textFill>
            <w14:solidFill>
              <w14:schemeClr w14:val="tx1"/>
            </w14:solidFill>
          </w14:textFill>
        </w:rPr>
        <w:t>三公”经费支出决算情况说明</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outlineLvl w:val="2"/>
        <w:rPr>
          <w:rFonts w:hint="eastAsia" w:ascii="楷体_GB2312" w:hAnsi="楷体_GB2312" w:eastAsia="楷体_GB2312" w:cs="楷体_GB2312"/>
          <w:b w:val="0"/>
          <w:bCs/>
          <w:color w:val="000000" w:themeColor="text1"/>
          <w:spacing w:val="0"/>
          <w:sz w:val="32"/>
          <w:szCs w:val="32"/>
          <w:highlight w:val="none"/>
          <w14:textFill>
            <w14:solidFill>
              <w14:schemeClr w14:val="tx1"/>
            </w14:solidFill>
          </w14:textFill>
        </w:rPr>
      </w:pPr>
      <w:bookmarkStart w:id="56" w:name="_Toc15377216"/>
      <w:r>
        <w:rPr>
          <w:rFonts w:hint="eastAsia" w:ascii="楷体_GB2312" w:hAnsi="楷体_GB2312" w:eastAsia="楷体_GB2312" w:cs="楷体_GB2312"/>
          <w:b w:val="0"/>
          <w:bCs/>
          <w:color w:val="000000" w:themeColor="text1"/>
          <w:spacing w:val="0"/>
          <w:sz w:val="32"/>
          <w:szCs w:val="32"/>
          <w:highlight w:val="none"/>
          <w14:textFill>
            <w14:solidFill>
              <w14:schemeClr w14:val="tx1"/>
            </w14:solidFill>
          </w14:textFill>
        </w:rPr>
        <w:t>（一）“三公”经费财政拨款支出决算总体情况说明</w:t>
      </w:r>
      <w:bookmarkEnd w:id="56"/>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20</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“三公”经费财政拨款支出决算为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153.85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万元，完成预算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较上年增加86.34万元，增长127.89%。</w:t>
      </w:r>
    </w:p>
    <w:p>
      <w:pPr>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outlineLvl w:val="2"/>
        <w:rPr>
          <w:rFonts w:hint="eastAsia" w:ascii="楷体_GB2312" w:hAnsi="楷体_GB2312" w:eastAsia="楷体_GB2312" w:cs="楷体_GB2312"/>
          <w:b w:val="0"/>
          <w:bCs/>
          <w:color w:val="000000" w:themeColor="text1"/>
          <w:spacing w:val="0"/>
          <w:sz w:val="32"/>
          <w:szCs w:val="32"/>
          <w:highlight w:val="none"/>
          <w14:textFill>
            <w14:solidFill>
              <w14:schemeClr w14:val="tx1"/>
            </w14:solidFill>
          </w14:textFill>
        </w:rPr>
      </w:pPr>
      <w:bookmarkStart w:id="57" w:name="_Toc15377217"/>
      <w:r>
        <w:rPr>
          <w:rFonts w:hint="eastAsia" w:ascii="楷体_GB2312" w:hAnsi="楷体_GB2312" w:eastAsia="楷体_GB2312" w:cs="楷体_GB2312"/>
          <w:b w:val="0"/>
          <w:bCs/>
          <w:color w:val="000000" w:themeColor="text1"/>
          <w:spacing w:val="0"/>
          <w:sz w:val="32"/>
          <w:szCs w:val="32"/>
          <w:highlight w:val="none"/>
          <w14:textFill>
            <w14:solidFill>
              <w14:schemeClr w14:val="tx1"/>
            </w14:solidFill>
          </w14:textFill>
        </w:rPr>
        <w:t>（二）“三公”经费财政拨款支出决算具体情况说明</w:t>
      </w:r>
      <w:bookmarkEnd w:id="57"/>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黑体" w:hAnsi="黑体" w:eastAsia="黑体" w:cs="黑体"/>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2022</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“三公”经费财政拨款支出决算中，</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因</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公出国（境）费</w:t>
      </w:r>
      <w:r>
        <w:rPr>
          <w:rFonts w:hint="eastAsia" w:ascii="仿宋" w:hAnsi="仿宋" w:eastAsia="仿宋"/>
          <w:color w:val="000000" w:themeColor="text1"/>
          <w:spacing w:val="0"/>
          <w:sz w:val="32"/>
          <w:szCs w:val="32"/>
          <w:highlight w:val="none"/>
          <w14:textFill>
            <w14:solidFill>
              <w14:schemeClr w14:val="tx1"/>
            </w14:solidFill>
          </w14:textFill>
        </w:rPr>
        <w:t>支</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出决算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，因为年初预算未安排</w:t>
      </w:r>
      <w:r>
        <w:rPr>
          <w:rFonts w:hint="eastAsia" w:ascii="仿宋" w:hAnsi="仿宋" w:eastAsia="仿宋"/>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公务用车购置及运行维护费支出决算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7.41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%；公务接待费支出决算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142.45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92.59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%。具体情况如下：</w:t>
      </w:r>
    </w:p>
    <w:p>
      <w:pPr>
        <w:pStyle w:val="26"/>
        <w:rPr>
          <w:rFonts w:hint="eastAsia" w:ascii="黑体" w:hAnsi="黑体" w:eastAsia="黑体" w:cs="黑体"/>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674370</wp:posOffset>
            </wp:positionH>
            <wp:positionV relativeFrom="paragraph">
              <wp:posOffset>99695</wp:posOffset>
            </wp:positionV>
            <wp:extent cx="4201160" cy="2014855"/>
            <wp:effectExtent l="4445" t="5080" r="23495" b="1841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6"/>
        <w:rPr>
          <w:rFonts w:hint="eastAsia" w:ascii="黑体" w:hAnsi="黑体" w:eastAsia="黑体" w:cs="黑体"/>
          <w:color w:val="000000" w:themeColor="text1"/>
          <w:sz w:val="32"/>
          <w:szCs w:val="32"/>
          <w:highlight w:val="none"/>
          <w14:textFill>
            <w14:solidFill>
              <w14:schemeClr w14:val="tx1"/>
            </w14:solidFill>
          </w14:textFill>
        </w:rPr>
      </w:pPr>
    </w:p>
    <w:p>
      <w:pPr>
        <w:pStyle w:val="26"/>
        <w:rPr>
          <w:rFonts w:hint="eastAsia" w:ascii="黑体" w:hAnsi="黑体" w:eastAsia="黑体" w:cs="黑体"/>
          <w:color w:val="000000" w:themeColor="text1"/>
          <w:sz w:val="32"/>
          <w:szCs w:val="32"/>
          <w:highlight w:val="none"/>
          <w14:textFill>
            <w14:solidFill>
              <w14:schemeClr w14:val="tx1"/>
            </w14:solidFill>
          </w14:textFill>
        </w:rPr>
      </w:pPr>
    </w:p>
    <w:p>
      <w:pPr>
        <w:pStyle w:val="26"/>
        <w:rPr>
          <w:rFonts w:hint="eastAsia"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（图</w:t>
      </w:r>
      <w:r>
        <w:rPr>
          <w:rFonts w:hint="eastAsia" w:ascii="黑体" w:hAnsi="黑体" w:eastAsia="黑体" w:cs="黑体"/>
          <w:color w:val="000000" w:themeColor="text1"/>
          <w:sz w:val="32"/>
          <w:szCs w:val="32"/>
          <w:highlight w:val="none"/>
          <w:lang w:val="en-US" w:eastAsia="zh-CN"/>
          <w14:textFill>
            <w14:solidFill>
              <w14:schemeClr w14:val="tx1"/>
            </w14:solidFill>
          </w14:textFill>
        </w:rPr>
        <w:t>6</w:t>
      </w:r>
      <w:r>
        <w:rPr>
          <w:rFonts w:hint="eastAsia" w:ascii="黑体" w:hAnsi="黑体" w:eastAsia="黑体" w:cs="黑体"/>
          <w:color w:val="000000" w:themeColor="text1"/>
          <w:sz w:val="32"/>
          <w:szCs w:val="32"/>
          <w:highlight w:val="none"/>
          <w14:textFill>
            <w14:solidFill>
              <w14:schemeClr w14:val="tx1"/>
            </w14:solidFill>
          </w14:textFill>
        </w:rPr>
        <w:t>：“三公”经费财政拨款支出结构）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default" w:ascii="仿宋_GB2312" w:eastAsia="仿宋_GB2312"/>
          <w:b/>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因公出国（境）经费支出</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0</w:t>
      </w:r>
      <w:r>
        <w:rPr>
          <w:rFonts w:hint="eastAsia" w:ascii="仿宋_GB2312" w:eastAsia="仿宋_GB2312"/>
          <w:color w:val="000000" w:themeColor="text1"/>
          <w:spacing w:val="0"/>
          <w:sz w:val="32"/>
          <w:szCs w:val="32"/>
          <w:highlight w:val="none"/>
          <w14:textFill>
            <w14:solidFill>
              <w14:schemeClr w14:val="tx1"/>
            </w14:solidFill>
          </w14:textFill>
        </w:rPr>
        <w:t>万元</w:t>
      </w:r>
      <w:r>
        <w:rPr>
          <w:rFonts w:hint="eastAsia" w:ascii="仿宋_GB2312" w:eastAsia="仿宋_GB2312"/>
          <w:color w:val="000000" w:themeColor="text1"/>
          <w:spacing w:val="0"/>
          <w:sz w:val="32"/>
          <w:szCs w:val="32"/>
          <w:highlight w:val="none"/>
          <w:lang w:eastAsia="zh-CN"/>
          <w14:textFill>
            <w14:solidFill>
              <w14:schemeClr w14:val="tx1"/>
            </w14:solidFill>
          </w14:textFill>
        </w:rPr>
        <w:t>，年初未安排预算，</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因公出国（境）</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支出决算较</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2021年无变化。</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仿宋_GB2312" w:eastAsia="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公务用车购置及运行维护费支出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11.4</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完成预算的100%</w:t>
      </w:r>
      <w:r>
        <w:rPr>
          <w:rStyle w:val="21"/>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公务用车购置及运行维护费支出决算比</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202１</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增加2.54</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，增长</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28.67%</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w:t>
      </w:r>
      <w:r>
        <w:rPr>
          <w:rFonts w:hint="eastAsia" w:ascii="仿宋_GB2312" w:eastAsia="仿宋_GB2312"/>
          <w:color w:val="000000" w:themeColor="text1"/>
          <w:spacing w:val="0"/>
          <w:sz w:val="32"/>
          <w:szCs w:val="32"/>
          <w:highlight w:val="none"/>
          <w14:textFill>
            <w14:solidFill>
              <w14:schemeClr w14:val="tx1"/>
            </w14:solidFill>
          </w14:textFill>
        </w:rPr>
        <w:t>主要</w:t>
      </w:r>
      <w:r>
        <w:rPr>
          <w:rFonts w:hint="eastAsia" w:ascii="仿宋_GB2312" w:eastAsia="仿宋_GB2312"/>
          <w:color w:val="000000" w:themeColor="text1"/>
          <w:spacing w:val="0"/>
          <w:sz w:val="32"/>
          <w:szCs w:val="32"/>
          <w:highlight w:val="none"/>
          <w:lang w:eastAsia="zh-CN"/>
          <w14:textFill>
            <w14:solidFill>
              <w14:schemeClr w14:val="tx1"/>
            </w14:solidFill>
          </w14:textFill>
        </w:rPr>
        <w:t>原因是增加了</w:t>
      </w:r>
      <w:r>
        <w:rPr>
          <w:rFonts w:hint="eastAsia" w:ascii="仿宋_GB2312" w:eastAsia="仿宋_GB2312"/>
          <w:color w:val="000000" w:themeColor="text1"/>
          <w:spacing w:val="0"/>
          <w:sz w:val="32"/>
          <w:szCs w:val="32"/>
          <w:highlight w:val="none"/>
          <w14:textFill>
            <w14:solidFill>
              <w14:schemeClr w14:val="tx1"/>
            </w14:solidFill>
          </w14:textFill>
        </w:rPr>
        <w:t>执行公务、开展业务活动等所需的公务用车燃料费、过路过桥费</w:t>
      </w:r>
      <w:r>
        <w:rPr>
          <w:rFonts w:hint="eastAsia" w:ascii="仿宋_GB2312" w:eastAsia="仿宋_GB2312"/>
          <w:color w:val="000000" w:themeColor="text1"/>
          <w:spacing w:val="0"/>
          <w:sz w:val="32"/>
          <w:szCs w:val="32"/>
          <w:highlight w:val="none"/>
          <w:lang w:eastAsia="zh-CN"/>
          <w14:textFill>
            <w14:solidFill>
              <w14:schemeClr w14:val="tx1"/>
            </w14:solidFill>
          </w14:textFill>
        </w:rPr>
        <w:t>用，车辆老旧维修费增多</w:t>
      </w:r>
      <w:r>
        <w:rPr>
          <w:rFonts w:hint="eastAsia" w:ascii="仿宋_GB2312" w:eastAsia="仿宋_GB2312"/>
          <w:color w:val="000000" w:themeColor="text1"/>
          <w:spacing w:val="0"/>
          <w:sz w:val="32"/>
          <w:szCs w:val="32"/>
          <w:highlight w:val="none"/>
          <w14:textFill>
            <w14:solidFill>
              <w14:schemeClr w14:val="tx1"/>
            </w14:solidFill>
          </w14:textFill>
        </w:rPr>
        <w:t>等支出。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其中：公务用车购置支出</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万元。截至202</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年12月底，单位共有公务用车</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辆，其中：越野车</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辆、</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其他车型</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公务用车运行维护费支出</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11.4</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万元。主要用于</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出差及公务接待</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等所需的公务用车燃料费、维修费、过路过桥费、保险费等支出。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公务接待费支出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142.45</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完成预算的100%</w:t>
      </w:r>
      <w:r>
        <w:rPr>
          <w:rStyle w:val="21"/>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公务接待费支出决算比</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202１</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增加</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83.8万元，增长142.88%。</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主要原因是</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招商引资项目</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、开展业务活动开支的交通费、住宿费、用餐费等</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增加</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国内公务接待支出</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142.45</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主要用于执行公务、开展招商引资活动开支的交通费、住宿费、用餐费等</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。国内公务接待</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510</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批次，</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7120</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人次（不包括陪同人员），共计支出</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142.45</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具体内容包括</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招商引资、</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投资说明、</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园区发展等接待支出。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外事接待支出</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Style w:val="24"/>
          <w:rFonts w:hint="eastAsia" w:ascii="黑体" w:hAnsi="黑体" w:eastAsia="黑体" w:cs="黑体"/>
          <w:b w:val="0"/>
          <w:bCs w:val="0"/>
          <w:color w:val="000000" w:themeColor="text1"/>
          <w:spacing w:val="0"/>
          <w:highlight w:val="none"/>
          <w14:textFill>
            <w14:solidFill>
              <w14:schemeClr w14:val="tx1"/>
            </w14:solidFill>
          </w14:textFill>
        </w:rPr>
      </w:pPr>
      <w:bookmarkStart w:id="58" w:name="_Toc15377218"/>
      <w:bookmarkStart w:id="59" w:name="_Toc15396610"/>
      <w:bookmarkStart w:id="60" w:name="_Toc1075"/>
      <w:r>
        <w:rPr>
          <w:rFonts w:hint="eastAsia" w:ascii="黑体" w:hAnsi="黑体" w:eastAsia="黑体" w:cs="黑体"/>
          <w:b w:val="0"/>
          <w:bCs w:val="0"/>
          <w:color w:val="000000" w:themeColor="text1"/>
          <w:spacing w:val="0"/>
          <w:sz w:val="32"/>
          <w:szCs w:val="32"/>
          <w:highlight w:val="none"/>
          <w14:textFill>
            <w14:solidFill>
              <w14:schemeClr w14:val="tx1"/>
            </w14:solidFill>
          </w14:textFill>
        </w:rPr>
        <w:t>八、</w:t>
      </w:r>
      <w:r>
        <w:rPr>
          <w:rStyle w:val="24"/>
          <w:rFonts w:hint="eastAsia" w:ascii="黑体" w:hAnsi="黑体" w:eastAsia="黑体" w:cs="黑体"/>
          <w:b w:val="0"/>
          <w:bCs w:val="0"/>
          <w:color w:val="000000" w:themeColor="text1"/>
          <w:spacing w:val="0"/>
          <w:highlight w:val="none"/>
          <w14:textFill>
            <w14:solidFill>
              <w14:schemeClr w14:val="tx1"/>
            </w14:solidFill>
          </w14:textFill>
        </w:rPr>
        <w:t>政府性基金预算支出决算情况说明</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20</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年</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政府性基金预算拨款支出</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87486.44</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万元。</w:t>
      </w:r>
      <w:bookmarkStart w:id="61" w:name="_Toc15396611"/>
      <w:bookmarkStart w:id="62" w:name="_Toc15377219"/>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Style w:val="24"/>
          <w:rFonts w:hint="eastAsia" w:ascii="黑体" w:hAnsi="黑体" w:eastAsia="黑体" w:cs="黑体"/>
          <w:b w:val="0"/>
          <w:bCs w:val="0"/>
          <w:color w:val="000000" w:themeColor="text1"/>
          <w:spacing w:val="0"/>
          <w:highlight w:val="none"/>
          <w14:textFill>
            <w14:solidFill>
              <w14:schemeClr w14:val="tx1"/>
            </w14:solidFill>
          </w14:textFill>
        </w:rPr>
      </w:pPr>
      <w:bookmarkStart w:id="63" w:name="_Toc32147"/>
      <w:r>
        <w:rPr>
          <w:rStyle w:val="24"/>
          <w:rFonts w:hint="eastAsia" w:ascii="黑体" w:hAnsi="黑体" w:eastAsia="黑体" w:cs="黑体"/>
          <w:b w:val="0"/>
          <w:bCs w:val="0"/>
          <w:color w:val="000000" w:themeColor="text1"/>
          <w:spacing w:val="0"/>
          <w:highlight w:val="none"/>
          <w:lang w:eastAsia="zh-CN"/>
          <w14:textFill>
            <w14:solidFill>
              <w14:schemeClr w14:val="tx1"/>
            </w14:solidFill>
          </w14:textFill>
        </w:rPr>
        <w:t>九、</w:t>
      </w:r>
      <w:r>
        <w:rPr>
          <w:rStyle w:val="24"/>
          <w:rFonts w:hint="eastAsia" w:ascii="黑体" w:hAnsi="黑体" w:eastAsia="黑体" w:cs="黑体"/>
          <w:b w:val="0"/>
          <w:bCs w:val="0"/>
          <w:color w:val="000000" w:themeColor="text1"/>
          <w:spacing w:val="0"/>
          <w:highlight w:val="none"/>
          <w14:textFill>
            <w14:solidFill>
              <w14:schemeClr w14:val="tx1"/>
            </w14:solidFill>
          </w14:textFill>
        </w:rPr>
        <w:t>国有资本经营预算支出决算情况说明</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20</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年</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国有资本经营预算拨款支出</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Style w:val="24"/>
          <w:rFonts w:hint="eastAsia" w:ascii="黑体" w:hAnsi="黑体" w:eastAsia="黑体" w:cs="黑体"/>
          <w:b w:val="0"/>
          <w:bCs w:val="0"/>
          <w:color w:val="000000" w:themeColor="text1"/>
          <w:spacing w:val="0"/>
          <w:highlight w:val="none"/>
          <w:lang w:eastAsia="zh-CN"/>
          <w14:textFill>
            <w14:solidFill>
              <w14:schemeClr w14:val="tx1"/>
            </w14:solidFill>
          </w14:textFill>
        </w:rPr>
      </w:pPr>
      <w:bookmarkStart w:id="64" w:name="_Toc12173"/>
      <w:bookmarkStart w:id="65" w:name="_Toc15396612"/>
      <w:bookmarkStart w:id="66" w:name="_Toc15377221"/>
      <w:r>
        <w:rPr>
          <w:rStyle w:val="24"/>
          <w:rFonts w:hint="eastAsia" w:ascii="黑体" w:hAnsi="黑体" w:eastAsia="黑体" w:cs="黑体"/>
          <w:b w:val="0"/>
          <w:bCs w:val="0"/>
          <w:color w:val="000000" w:themeColor="text1"/>
          <w:spacing w:val="0"/>
          <w:highlight w:val="none"/>
          <w:lang w:eastAsia="zh-CN"/>
          <w14:textFill>
            <w14:solidFill>
              <w14:schemeClr w14:val="tx1"/>
            </w14:solidFill>
          </w14:textFill>
        </w:rPr>
        <w:t>十、其他重要事项的情况说明</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67" w:name="_Toc15377222"/>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（一）机关运行经费支出情况</w:t>
      </w:r>
      <w:bookmarkEnd w:id="67"/>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20</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年</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，机关运行经费支出</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495.04万元</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比20</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年</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减少</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32.41</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万元，</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减少</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6.14</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%。主要原因是</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2022年减少了公务成本</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68" w:name="_Toc15377223"/>
      <w:r>
        <w:rPr>
          <w:rFonts w:hint="eastAsia" w:ascii="楷体_GB2312" w:hAnsi="楷体_GB2312" w:eastAsia="楷体_GB2312" w:cs="楷体_GB2312"/>
          <w:b w:val="0"/>
          <w:bCs w:val="0"/>
          <w:color w:val="000000" w:themeColor="text1"/>
          <w:spacing w:val="0"/>
          <w:sz w:val="32"/>
          <w:szCs w:val="32"/>
          <w:highlight w:val="none"/>
          <w:lang w:eastAsia="zh-CN"/>
          <w14:textFill>
            <w14:solidFill>
              <w14:schemeClr w14:val="tx1"/>
            </w14:solidFill>
          </w14:textFill>
        </w:rPr>
        <w:t>（二）</w:t>
      </w:r>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政府采购支出情况</w:t>
      </w:r>
      <w:bookmarkEnd w:id="68"/>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202</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年，经开区管委会政府采购支出总额</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728.22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万元，其中：政府采购货物支出</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258.22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万元、政府采购工程支出</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万元、政府采购服务支出</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470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万元。主要用于购买固定资产及购买第三方服务等。授予中小企业合同金额</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万元，占政府采购支出总额的</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%，其中：授予小微企业</w:t>
      </w:r>
      <w:bookmarkStart w:id="102" w:name="_GoBack"/>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合同</w:t>
      </w:r>
      <w:bookmarkEnd w:id="102"/>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金额</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万元，占政府采购支出总额的</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000000" w:themeColor="text1"/>
          <w:spacing w:val="0"/>
          <w:sz w:val="32"/>
          <w:szCs w:val="32"/>
          <w:highlight w:val="none"/>
          <w:lang w:eastAsia="zh-CN"/>
          <w14:textFill>
            <w14:solidFill>
              <w14:schemeClr w14:val="tx1"/>
            </w14:solidFill>
          </w14:textFill>
        </w:rPr>
      </w:pPr>
      <w:bookmarkStart w:id="69" w:name="_Toc15377224"/>
      <w:r>
        <w:rPr>
          <w:rFonts w:hint="eastAsia" w:ascii="楷体_GB2312" w:hAnsi="楷体_GB2312" w:eastAsia="楷体_GB2312" w:cs="楷体_GB2312"/>
          <w:b w:val="0"/>
          <w:bCs w:val="0"/>
          <w:color w:val="000000" w:themeColor="text1"/>
          <w:spacing w:val="0"/>
          <w:sz w:val="32"/>
          <w:szCs w:val="32"/>
          <w:highlight w:val="none"/>
          <w:lang w:eastAsia="zh-CN"/>
          <w14:textFill>
            <w14:solidFill>
              <w14:schemeClr w14:val="tx1"/>
            </w14:solidFill>
          </w14:textFill>
        </w:rPr>
        <w:t>（三）国有资产占有使用情况</w:t>
      </w:r>
      <w:bookmarkEnd w:id="69"/>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截至202</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年12月31日，开发区机关共有车辆</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辆，其中：应急保障用车</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辆、其他用车</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辆，其他用车主要是用于招商引资、园区发展等，单价50万元以上通用设备</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台（套），单价100万元以上专用设备</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台（套）。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000000" w:themeColor="text1"/>
          <w:spacing w:val="0"/>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highlight w:val="none"/>
          <w:lang w:eastAsia="zh-CN"/>
          <w14:textFill>
            <w14:solidFill>
              <w14:schemeClr w14:val="tx1"/>
            </w14:solidFill>
          </w14:textFill>
        </w:rPr>
        <w:t>（四）预算绩效管理情况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1"/>
        <w:rPr>
          <w:rFonts w:hint="eastAsia"/>
          <w:color w:val="000000" w:themeColor="text1"/>
          <w:spacing w:val="0"/>
          <w14:textFill>
            <w14:solidFill>
              <w14:schemeClr w14:val="tx1"/>
            </w14:solidFill>
          </w14:textFill>
        </w:rPr>
      </w:pPr>
      <w:bookmarkStart w:id="70" w:name="_Toc21242"/>
      <w:bookmarkStart w:id="71" w:name="_Toc2692"/>
      <w:r>
        <w:rPr>
          <w:rFonts w:hint="eastAsia" w:ascii="仿宋_GB2312" w:hAnsi="仿宋_GB2312" w:eastAsia="仿宋_GB2312" w:cs="仿宋_GB2312"/>
          <w:color w:val="000000"/>
          <w:spacing w:val="0"/>
          <w:sz w:val="32"/>
          <w:szCs w:val="32"/>
          <w:highlight w:val="none"/>
        </w:rPr>
        <w:t>根据预算绩效管理要求，本部门在</w:t>
      </w:r>
      <w:r>
        <w:rPr>
          <w:rFonts w:hint="eastAsia" w:ascii="仿宋_GB2312" w:hAnsi="仿宋_GB2312" w:eastAsia="仿宋_GB2312" w:cs="仿宋_GB2312"/>
          <w:color w:val="000000"/>
          <w:spacing w:val="0"/>
          <w:sz w:val="32"/>
          <w:szCs w:val="32"/>
          <w:highlight w:val="none"/>
          <w:lang w:val="en-US" w:eastAsia="zh-CN"/>
        </w:rPr>
        <w:t>2022年度</w:t>
      </w:r>
      <w:r>
        <w:rPr>
          <w:rFonts w:hint="eastAsia" w:ascii="仿宋_GB2312" w:hAnsi="仿宋_GB2312" w:eastAsia="仿宋_GB2312" w:cs="仿宋_GB2312"/>
          <w:color w:val="000000"/>
          <w:spacing w:val="0"/>
          <w:sz w:val="32"/>
          <w:szCs w:val="32"/>
          <w:highlight w:val="none"/>
        </w:rPr>
        <w:t>预算编制阶段，组织</w:t>
      </w:r>
      <w:r>
        <w:rPr>
          <w:rFonts w:hint="eastAsia" w:ascii="仿宋_GB2312" w:hAnsi="仿宋_GB2312" w:eastAsia="仿宋_GB2312" w:cs="仿宋_GB2312"/>
          <w:color w:val="000000"/>
          <w:spacing w:val="0"/>
          <w:sz w:val="32"/>
          <w:szCs w:val="32"/>
          <w:highlight w:val="none"/>
          <w:lang w:eastAsia="zh-CN"/>
        </w:rPr>
        <w:t>对</w:t>
      </w:r>
      <w:r>
        <w:rPr>
          <w:rFonts w:hint="eastAsia" w:ascii="仿宋_GB2312" w:hAnsi="仿宋_GB2312" w:eastAsia="仿宋_GB2312" w:cs="仿宋_GB2312"/>
          <w:color w:val="000000"/>
          <w:spacing w:val="0"/>
          <w:sz w:val="32"/>
          <w:szCs w:val="32"/>
          <w:highlight w:val="none"/>
        </w:rPr>
        <w:t>滨江西路（袁家坝至基坝）道路工程PPP项目</w:t>
      </w:r>
      <w:r>
        <w:rPr>
          <w:rFonts w:hint="eastAsia" w:ascii="仿宋_GB2312" w:hAnsi="仿宋_GB2312" w:eastAsia="仿宋_GB2312" w:cs="仿宋_GB2312"/>
          <w:color w:val="000000"/>
          <w:spacing w:val="0"/>
          <w:sz w:val="32"/>
          <w:szCs w:val="32"/>
          <w:highlight w:val="none"/>
          <w:lang w:eastAsia="zh-CN"/>
        </w:rPr>
        <w:t>、环卫工人工资及园创公园维护费项目、陵宝快速石龙段道路改扩建工程PPP项目、石龙污水处理配套管网建设PPP项目、石盘片区城中村棚户区改造项目等</w:t>
      </w:r>
      <w:r>
        <w:rPr>
          <w:rFonts w:hint="eastAsia" w:ascii="仿宋_GB2312" w:hAnsi="仿宋_GB2312" w:eastAsia="仿宋_GB2312" w:cs="仿宋_GB2312"/>
          <w:color w:val="000000"/>
          <w:spacing w:val="0"/>
          <w:sz w:val="32"/>
          <w:szCs w:val="32"/>
          <w:highlight w:val="none"/>
          <w:lang w:val="en-US" w:eastAsia="zh-CN"/>
        </w:rPr>
        <w:t>5个项目</w:t>
      </w:r>
      <w:r>
        <w:rPr>
          <w:rFonts w:hint="eastAsia" w:ascii="仿宋_GB2312" w:hAnsi="仿宋_GB2312" w:eastAsia="仿宋_GB2312" w:cs="仿宋_GB2312"/>
          <w:color w:val="000000"/>
          <w:spacing w:val="0"/>
          <w:sz w:val="32"/>
          <w:szCs w:val="32"/>
          <w:highlight w:val="none"/>
        </w:rPr>
        <w:t>开展了预算事前绩效评估，对</w:t>
      </w:r>
      <w:r>
        <w:rPr>
          <w:rFonts w:hint="eastAsia" w:ascii="仿宋_GB2312" w:hAnsi="仿宋_GB2312" w:eastAsia="仿宋_GB2312" w:cs="仿宋_GB2312"/>
          <w:color w:val="000000"/>
          <w:spacing w:val="0"/>
          <w:sz w:val="32"/>
          <w:szCs w:val="32"/>
          <w:highlight w:val="none"/>
          <w:lang w:val="en-US" w:eastAsia="zh-CN"/>
        </w:rPr>
        <w:t>300</w:t>
      </w:r>
      <w:r>
        <w:rPr>
          <w:rFonts w:hint="eastAsia" w:ascii="仿宋_GB2312" w:hAnsi="仿宋_GB2312" w:eastAsia="仿宋_GB2312" w:cs="仿宋_GB2312"/>
          <w:color w:val="000000"/>
          <w:spacing w:val="0"/>
          <w:sz w:val="32"/>
          <w:szCs w:val="32"/>
          <w:highlight w:val="none"/>
        </w:rPr>
        <w:t>个项目编制了绩效目标，预算执行过程中，选取</w:t>
      </w:r>
      <w:r>
        <w:rPr>
          <w:rFonts w:hint="eastAsia" w:ascii="仿宋_GB2312" w:hAnsi="仿宋_GB2312" w:eastAsia="仿宋_GB2312" w:cs="仿宋_GB2312"/>
          <w:color w:val="000000"/>
          <w:spacing w:val="0"/>
          <w:sz w:val="32"/>
          <w:szCs w:val="32"/>
          <w:highlight w:val="none"/>
          <w:lang w:val="en-US" w:eastAsia="zh-CN"/>
        </w:rPr>
        <w:t>300</w:t>
      </w:r>
      <w:r>
        <w:rPr>
          <w:rFonts w:hint="eastAsia" w:ascii="仿宋_GB2312" w:hAnsi="仿宋_GB2312" w:eastAsia="仿宋_GB2312" w:cs="仿宋_GB2312"/>
          <w:color w:val="000000"/>
          <w:spacing w:val="0"/>
          <w:sz w:val="32"/>
          <w:szCs w:val="32"/>
          <w:highlight w:val="none"/>
        </w:rPr>
        <w:t>个项目开展绩效监控，年终执行完毕后，对</w:t>
      </w:r>
      <w:r>
        <w:rPr>
          <w:rFonts w:hint="eastAsia" w:ascii="仿宋_GB2312" w:hAnsi="仿宋_GB2312" w:eastAsia="仿宋_GB2312" w:cs="仿宋_GB2312"/>
          <w:color w:val="000000"/>
          <w:spacing w:val="0"/>
          <w:sz w:val="32"/>
          <w:szCs w:val="32"/>
          <w:highlight w:val="none"/>
          <w:lang w:val="en-US" w:eastAsia="zh-CN"/>
        </w:rPr>
        <w:t>8</w:t>
      </w:r>
      <w:r>
        <w:rPr>
          <w:rFonts w:hint="eastAsia" w:ascii="仿宋_GB2312" w:hAnsi="仿宋_GB2312" w:eastAsia="仿宋_GB2312" w:cs="仿宋_GB2312"/>
          <w:color w:val="000000"/>
          <w:spacing w:val="0"/>
          <w:sz w:val="32"/>
          <w:szCs w:val="32"/>
          <w:highlight w:val="none"/>
        </w:rPr>
        <w:t>个项目开展了绩效自评</w:t>
      </w:r>
      <w:r>
        <w:rPr>
          <w:rFonts w:hint="eastAsia" w:ascii="仿宋_GB2312" w:hAnsi="仿宋_GB2312" w:eastAsia="仿宋_GB2312" w:cs="仿宋_GB2312"/>
          <w:color w:val="000000"/>
          <w:spacing w:val="0"/>
          <w:sz w:val="32"/>
          <w:szCs w:val="32"/>
          <w:highlight w:val="none"/>
          <w:lang w:eastAsia="zh-CN"/>
        </w:rPr>
        <w:t>。</w:t>
      </w:r>
      <w:bookmarkEnd w:id="70"/>
      <w:bookmarkEnd w:id="71"/>
      <w:r>
        <w:rPr>
          <w:rFonts w:ascii="仿宋_GB2312" w:hAnsi="Times New Roman" w:eastAsia="仿宋_GB2312" w:cs="仿宋_GB2312"/>
          <w:i w:val="0"/>
          <w:iCs w:val="0"/>
          <w:caps w:val="0"/>
          <w:color w:val="000000"/>
          <w:spacing w:val="0"/>
          <w:kern w:val="0"/>
          <w:sz w:val="32"/>
          <w:szCs w:val="32"/>
          <w:lang w:val="en-US" w:eastAsia="zh-CN" w:bidi="ar"/>
        </w:rPr>
        <w:t>绩效自评表详见</w:t>
      </w:r>
      <w:r>
        <w:rPr>
          <w:rFonts w:hint="eastAsia" w:ascii="宋体" w:hAnsi="宋体" w:eastAsia="宋体" w:cs="宋体"/>
          <w:i w:val="0"/>
          <w:iCs w:val="0"/>
          <w:caps w:val="0"/>
          <w:color w:val="000000"/>
          <w:spacing w:val="0"/>
          <w:kern w:val="0"/>
          <w:sz w:val="32"/>
          <w:szCs w:val="32"/>
          <w:lang w:val="en-US" w:eastAsia="zh-CN" w:bidi="ar"/>
        </w:rPr>
        <w:t>第四部分</w:t>
      </w:r>
      <w:r>
        <w:rPr>
          <w:rFonts w:hint="default" w:ascii="仿宋_GB2312" w:hAnsi="Times New Roman" w:eastAsia="仿宋_GB2312" w:cs="仿宋_GB2312"/>
          <w:i w:val="0"/>
          <w:iCs w:val="0"/>
          <w:caps w:val="0"/>
          <w:color w:val="000000"/>
          <w:spacing w:val="0"/>
          <w:kern w:val="0"/>
          <w:sz w:val="32"/>
          <w:szCs w:val="32"/>
          <w:lang w:val="en-US" w:eastAsia="zh-CN" w:bidi="ar"/>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小标宋简体" w:hAnsi="方正小标宋简体" w:eastAsia="方正小标宋简体" w:cs="方正小标宋简体"/>
          <w:b w:val="0"/>
          <w:bCs/>
          <w:color w:val="000000" w:themeColor="text1"/>
          <w:spacing w:val="0"/>
          <w:sz w:val="44"/>
          <w:szCs w:val="44"/>
          <w:highlight w:val="none"/>
          <w:lang w:eastAsia="zh-CN"/>
          <w14:textFill>
            <w14:solidFill>
              <w14:schemeClr w14:val="tx1"/>
            </w14:solidFill>
          </w14:textFill>
        </w:rPr>
      </w:pPr>
      <w:bookmarkStart w:id="72" w:name="_Toc15396613"/>
      <w:bookmarkStart w:id="73" w:name="_Toc15377225"/>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rPr>
          <w:rFonts w:hint="eastAsia" w:ascii="方正小标宋简体" w:hAnsi="方正小标宋简体" w:eastAsia="方正小标宋简体" w:cs="方正小标宋简体"/>
          <w:b w:val="0"/>
          <w:bCs/>
          <w:color w:val="000000" w:themeColor="text1"/>
          <w:spacing w:val="0"/>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0"/>
          <w:sz w:val="44"/>
          <w:szCs w:val="44"/>
          <w:highlight w:val="none"/>
          <w:lang w:eastAsia="zh-CN"/>
          <w14:textFill>
            <w14:solidFill>
              <w14:schemeClr w14:val="tx1"/>
            </w14:solidFill>
          </w14:textFill>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jc w:val="center"/>
        <w:textAlignment w:val="auto"/>
        <w:outlineLvl w:val="0"/>
        <w:rPr>
          <w:rStyle w:val="23"/>
          <w:rFonts w:hint="eastAsia" w:ascii="方正小标宋简体" w:hAnsi="方正小标宋简体" w:eastAsia="方正小标宋简体" w:cs="方正小标宋简体"/>
          <w:b w:val="0"/>
          <w:bCs/>
          <w:color w:val="000000" w:themeColor="text1"/>
          <w:spacing w:val="0"/>
          <w:highlight w:val="none"/>
          <w14:textFill>
            <w14:solidFill>
              <w14:schemeClr w14:val="tx1"/>
            </w14:solidFill>
          </w14:textFill>
        </w:rPr>
      </w:pPr>
      <w:bookmarkStart w:id="74" w:name="_Toc1375"/>
      <w:r>
        <w:rPr>
          <w:rFonts w:hint="eastAsia" w:ascii="方正小标宋简体" w:hAnsi="方正小标宋简体" w:eastAsia="方正小标宋简体" w:cs="方正小标宋简体"/>
          <w:b w:val="0"/>
          <w:bCs/>
          <w:color w:val="000000" w:themeColor="text1"/>
          <w:spacing w:val="0"/>
          <w:sz w:val="44"/>
          <w:szCs w:val="44"/>
          <w:highlight w:val="none"/>
          <w:lang w:eastAsia="zh-CN"/>
          <w14:textFill>
            <w14:solidFill>
              <w14:schemeClr w14:val="tx1"/>
            </w14:solidFill>
          </w14:textFill>
        </w:rPr>
        <w:t>第三部分</w:t>
      </w:r>
      <w:r>
        <w:rPr>
          <w:rFonts w:hint="eastAsia" w:ascii="方正小标宋简体" w:hAnsi="方正小标宋简体" w:eastAsia="方正小标宋简体" w:cs="方正小标宋简体"/>
          <w:b w:val="0"/>
          <w:bCs/>
          <w:color w:val="000000" w:themeColor="text1"/>
          <w:spacing w:val="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pacing w:val="0"/>
          <w:sz w:val="44"/>
          <w:szCs w:val="44"/>
          <w:highlight w:val="none"/>
          <w14:textFill>
            <w14:solidFill>
              <w14:schemeClr w14:val="tx1"/>
            </w14:solidFill>
          </w14:textFill>
        </w:rPr>
        <w:t>名</w:t>
      </w:r>
      <w:r>
        <w:rPr>
          <w:rStyle w:val="23"/>
          <w:rFonts w:hint="eastAsia" w:ascii="方正小标宋简体" w:hAnsi="方正小标宋简体" w:eastAsia="方正小标宋简体" w:cs="方正小标宋简体"/>
          <w:b w:val="0"/>
          <w:bCs/>
          <w:color w:val="000000" w:themeColor="text1"/>
          <w:spacing w:val="0"/>
          <w:highlight w:val="none"/>
          <w14:textFill>
            <w14:solidFill>
              <w14:schemeClr w14:val="tx1"/>
            </w14:solidFill>
          </w14:textFill>
        </w:rPr>
        <w:t>词解释</w:t>
      </w:r>
      <w:bookmarkEnd w:id="72"/>
      <w:bookmarkEnd w:id="73"/>
      <w:bookmarkEnd w:id="74"/>
    </w:p>
    <w:p>
      <w:pPr>
        <w:keepNext w:val="0"/>
        <w:keepLines w:val="0"/>
        <w:pageBreakBefore w:val="0"/>
        <w:widowControl w:val="0"/>
        <w:kinsoku/>
        <w:wordWrap/>
        <w:overflowPunct/>
        <w:topLinePunct w:val="0"/>
        <w:autoSpaceDE/>
        <w:autoSpaceDN/>
        <w:bidi w:val="0"/>
        <w:snapToGrid/>
        <w:spacing w:line="570" w:lineRule="exact"/>
        <w:ind w:left="0" w:leftChars="0" w:right="0" w:rightChars="0"/>
        <w:jc w:val="both"/>
        <w:textAlignment w:val="auto"/>
        <w:rPr>
          <w:rFonts w:hint="eastAsia" w:ascii="仿宋_GB2312" w:hAnsi="仿宋_GB2312" w:eastAsia="仿宋_GB2312" w:cs="仿宋_GB2312"/>
          <w:b/>
          <w:color w:val="000000" w:themeColor="text1"/>
          <w:spacing w:val="0"/>
          <w:sz w:val="32"/>
          <w:szCs w:val="32"/>
          <w:highlight w:val="none"/>
          <w14:textFill>
            <w14:solidFill>
              <w14:schemeClr w14:val="tx1"/>
            </w14:solidFill>
          </w14:textFill>
        </w:rPr>
      </w:pPr>
    </w:p>
    <w:p>
      <w:pPr>
        <w:pStyle w:val="26"/>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right="0" w:rightChars="0" w:firstLine="400" w:firstLineChars="0"/>
        <w:jc w:val="both"/>
        <w:textAlignment w:val="auto"/>
        <w:outlineLvl w:val="1"/>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bookmarkStart w:id="75" w:name="_Toc5688"/>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财政拨款收入：指单位从同级财政部门取得的财政预算资金。</w:t>
      </w:r>
      <w:bookmarkEnd w:id="75"/>
    </w:p>
    <w:p>
      <w:pPr>
        <w:pStyle w:val="26"/>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行政运行</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（项）：指</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反映行政单位（包括实行公务员管理的事业单位）的基本支出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指反映行政单位（包括实行公务员管理的事业单位）未单独设置项级科目的其他项目支出。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指</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为行政单位（包括实行公务员管理的事业单位）提供后勤服务的各类后勤服务中心、医务室等附属事业单位的支出。其他事业单位的支出，凡单独设置了项级科目的，在单独的项级科目中反映。未单设项级科目的，在“其他”项级科目中反映。</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专项业务活动及机关事务管理</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指反映各级政府举行各类重大活动、召开重要会议（如国务院一类会议、国庆招待会、全国劳模大会）的支出，政府机关房地产管理、公务用车管理等方面的支出。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信访事务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指反映各级政府用于接待群众来信来访方面的支出。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指反映除上述项目以外的其他政府办公厅（室）及相关机构事务支出。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行政运行</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指反映行政单位（包括实行公务员管理的事业单位）的基本支出。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战略规划与实施</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指反映拟订并组织实施国民经济和社会发展战略、中长期规划和年度计划，实施宏观管理与调控等方面的支出。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日常经济运行调节</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反映日常经济运行调节方面的支出。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其他发展与改革事务支出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反映除上述项目以外的其他发展与改革事务支出。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统计信息事务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其他统计信息事务支出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反映除上述项目以外的其他统计信息事务支出。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反映行政单位（包括实行公务员管理的事业单位）未单独设置项级科目的其他项目支出。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预算改革业务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反映财政部门用于预算改革方面的支出。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财政委托业务支出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反映财政委托评审机构进行财政投资评审和委托建设银行等机构代理业务发生的支出。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其他财政事务支出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反映除上述项目以外其他财政事务方面的支出。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审计事务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反映行政单位（包括实行公务员管理的事业单位）未单独设置项级科目的其他项目支出。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审计事务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审计业务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反映各级审计机构的审计、专项审计调查、聘请社会审计组织人员及技术专家等方面的支出。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纪检监察事务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）大案要案查处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反映查处大要（专）案的支出。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纪检监察事务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）其他纪检监察事务支出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反映除上述项目以外其他纪检监察事务方面的支出。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商贸事务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）招商引资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反映用于招商引资、优化经济环境等方面的支出。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商贸事务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）其他商贸事务支出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反映除上述项目以外其他用于商贸事务方面的支出。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档案事务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）其他档案事务支出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反映除上述项目以外其他用于档案事务方面的支出。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群众团体事务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其他群众团体事务支出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反映上述项目以外其他用于群众团体事务方面的支出。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组织事务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反映行政单位（包括实行公务员管理的事业单位）未单独设置项级科目的其他项目支出。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组织事务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组织事务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其他组织事务支出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反映除上述项目以外其他用于中国共产党组织部门的事务支出。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宣传事务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其他宣传事务支出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反映除上述项目以外其他用于中国共产党宣传部门的事务支出。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其他一般公共服务支出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其他一般公共服务支出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反映除上述项目以外其他一般公共服务支出。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国防动员</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兵役征集</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反映用于兵役征集等方面的支出。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国防动员</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民兵</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反映用于民兵建设与管理等方面的支出。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公共安全</w:t>
      </w:r>
      <w:r>
        <w:rPr>
          <w:rFonts w:hint="eastAsia" w:ascii="仿宋_GB2312" w:hAnsi="仿宋_GB2312" w:eastAsia="仿宋_GB2312" w:cs="仿宋_GB2312"/>
          <w:color w:val="auto"/>
          <w:spacing w:val="0"/>
          <w:sz w:val="32"/>
          <w:szCs w:val="32"/>
          <w:highlight w:val="none"/>
          <w:lang w:eastAsia="zh-CN"/>
        </w:rPr>
        <w:t>支出</w:t>
      </w:r>
      <w:r>
        <w:rPr>
          <w:rFonts w:hint="eastAsia" w:ascii="仿宋_GB2312" w:hAnsi="仿宋_GB2312" w:eastAsia="仿宋_GB2312" w:cs="仿宋_GB2312"/>
          <w:color w:val="auto"/>
          <w:spacing w:val="0"/>
          <w:sz w:val="32"/>
          <w:szCs w:val="32"/>
          <w:highlight w:val="none"/>
          <w:lang w:val="en-US" w:eastAsia="zh-CN"/>
        </w:rPr>
        <w:t>204</w:t>
      </w:r>
      <w:r>
        <w:rPr>
          <w:rFonts w:hint="eastAsia" w:ascii="仿宋_GB2312" w:hAnsi="仿宋_GB2312" w:eastAsia="仿宋_GB2312" w:cs="仿宋_GB2312"/>
          <w:color w:val="auto"/>
          <w:spacing w:val="0"/>
          <w:sz w:val="32"/>
          <w:szCs w:val="32"/>
          <w:highlight w:val="none"/>
        </w:rPr>
        <w:t>（类）</w:t>
      </w:r>
      <w:r>
        <w:rPr>
          <w:rFonts w:hint="eastAsia" w:ascii="仿宋_GB2312" w:hAnsi="仿宋_GB2312" w:eastAsia="仿宋_GB2312" w:cs="仿宋_GB2312"/>
          <w:color w:val="auto"/>
          <w:spacing w:val="0"/>
          <w:sz w:val="32"/>
          <w:szCs w:val="32"/>
          <w:highlight w:val="none"/>
          <w:lang w:eastAsia="zh-CN"/>
        </w:rPr>
        <w:t>其他公共安全支出</w:t>
      </w:r>
      <w:r>
        <w:rPr>
          <w:rFonts w:hint="eastAsia" w:ascii="仿宋_GB2312" w:hAnsi="仿宋_GB2312" w:eastAsia="仿宋_GB2312" w:cs="仿宋_GB2312"/>
          <w:color w:val="auto"/>
          <w:spacing w:val="0"/>
          <w:sz w:val="32"/>
          <w:szCs w:val="32"/>
          <w:highlight w:val="none"/>
          <w:lang w:val="en-US" w:eastAsia="zh-CN"/>
        </w:rPr>
        <w:t>99</w:t>
      </w:r>
      <w:r>
        <w:rPr>
          <w:rFonts w:hint="eastAsia" w:ascii="仿宋_GB2312" w:hAnsi="仿宋_GB2312" w:eastAsia="仿宋_GB2312" w:cs="仿宋_GB2312"/>
          <w:color w:val="auto"/>
          <w:spacing w:val="0"/>
          <w:sz w:val="32"/>
          <w:szCs w:val="32"/>
          <w:highlight w:val="none"/>
        </w:rPr>
        <w:t>（款）</w:t>
      </w:r>
      <w:r>
        <w:rPr>
          <w:rFonts w:hint="eastAsia" w:ascii="仿宋_GB2312" w:hAnsi="仿宋_GB2312" w:eastAsia="仿宋_GB2312" w:cs="仿宋_GB2312"/>
          <w:color w:val="auto"/>
          <w:spacing w:val="0"/>
          <w:sz w:val="32"/>
          <w:szCs w:val="32"/>
          <w:highlight w:val="none"/>
          <w:lang w:eastAsia="zh-CN"/>
        </w:rPr>
        <w:t>其他公共安全支出</w:t>
      </w:r>
      <w:r>
        <w:rPr>
          <w:rFonts w:hint="eastAsia" w:ascii="仿宋_GB2312" w:hAnsi="仿宋_GB2312" w:eastAsia="仿宋_GB2312" w:cs="仿宋_GB2312"/>
          <w:color w:val="auto"/>
          <w:spacing w:val="0"/>
          <w:sz w:val="32"/>
          <w:szCs w:val="32"/>
          <w:highlight w:val="none"/>
          <w:lang w:val="en-US" w:eastAsia="zh-CN"/>
        </w:rPr>
        <w:t>99</w:t>
      </w:r>
      <w:r>
        <w:rPr>
          <w:rFonts w:hint="eastAsia" w:ascii="仿宋_GB2312" w:hAnsi="仿宋_GB2312" w:eastAsia="仿宋_GB2312" w:cs="仿宋_GB2312"/>
          <w:color w:val="auto"/>
          <w:spacing w:val="0"/>
          <w:sz w:val="32"/>
          <w:szCs w:val="32"/>
          <w:highlight w:val="none"/>
        </w:rPr>
        <w:t>（项）：</w:t>
      </w:r>
      <w:r>
        <w:rPr>
          <w:rFonts w:hint="eastAsia" w:ascii="仿宋_GB2312" w:hAnsi="仿宋_GB2312" w:eastAsia="仿宋_GB2312" w:cs="仿宋_GB2312"/>
          <w:color w:val="auto"/>
          <w:spacing w:val="0"/>
          <w:sz w:val="32"/>
          <w:szCs w:val="32"/>
          <w:highlight w:val="none"/>
          <w:lang w:eastAsia="zh-CN"/>
        </w:rPr>
        <w:t>反映除上述项目以外其他用于公共安全方面的支出。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科学技术</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技术研究与开发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其他技术研究与开发支出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（项）：指</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反映除上述项目以外其他用于技术研究与开发方面的支出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科学技术</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科学技术普及</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机构运行</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反映科普事业单位的基本支出。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文化和旅游</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群众文化</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反映群众文化方面的支出，包括基层文化馆（站）、群众艺术馆支出等。</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体育</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其他体育支出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反映上述项目以</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外</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其他用于体育方面的支出。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新闻出版电影</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电影</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反映电影制片、发行、放映等方面的支出。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新闻出版电影</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其他新闻出版电影支出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反映除上述项目以外其他用于新闻出版电影方面的支出。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人力资源和社会保障管理事务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劳动保障监察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反映劳动保障监察事务支出。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人力资源和社会保障管理事务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其他人力资源和社会保障管理事务支出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反映除上述项目以外其他用于人力资源和社会保障管理事务方面的支出。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民政管理事务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其他民政管理事务支出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反映除上述项目以外其他用于民政管理事务的支出。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行政单位离退休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反映行政单位（包括实行公务员管理的事业单位）开支的离退休经费。</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机关事业单位基本养老保险缴费支出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（项）：指</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反映机关事业单位实施养老保险制度由单位缴纳的基本养老保险费支出。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机关事业单位职业年金缴费支出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反映机关事业单位实施养老保险制度由单位缴纳的职业年金支出。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就业补助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其他就业补助支出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反映除上述项目以外按规定确定的其他用于促进就业的补助支出。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死亡抚恤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反映按规定用于烈士和牺牲、病故人员家属的一次性和定期抚恤金、丧葬补助费以及烈士褒扬金。</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伤残抚恤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反映按规定用于伤残人员的抚恤金和按规定开支的各种伤残补助费。</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在乡复员、退伍军人生活补助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反映在乡退伍红军老战士（含西路军红军老战士、红军失散人员）、</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1954年10月31日前入伍的在乡复员军人、按规定办理带病回乡手续的退伍军人生活补助。</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义务兵优待</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反映用于义务兵优待方面的支出。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其他优抚支出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反映除上述项目以外其他用于优抚方面的支出。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退役安置</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退役士兵安置</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反映按规定用于伤残义务兵的一次性建房补助，对符合条件的退役士兵、转业士官的安置支出。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退役安置</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退役士兵管理教育</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反映退役士兵职业教育、转业士官待分配期间管理教育、医疗等支出。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退役安置</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其他退役安置支出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反映除上述项目以外其他用于退役安置方面的支出。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社会福利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养老服务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反映财政在养老服务方面的补助支出，包括支持居家养老服务、社区养老服务和机构养老服务的支出，对养老服务机构的运营、建设补助支出等，不包括对社会福利事业单位的补助支出。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社会福利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其他社会福利支出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反映除上述项目以外其他用于社会福利方面的支出。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残疾人康复</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反映残疾人联合会用于残疾人康复方面的支出。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残疾人就业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反映残疾人联合会用于残疾人就业方面的支出。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残疾人生活和护理补贴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反映困难残疾人生活补贴和重度残疾人护理补贴支出。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其他残疾人事业支出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除上述项目以外其他用于残疾人事业方面的支出。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最低生活保障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城市最低生活保障金支出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反映用于城市最低生活保障对象的最低生活保障金支出。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最低生活保障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农村最低生活保障金支出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反映用于农村最低生活保障对象的最低生活保障金支出。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临时救助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临时</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救助支出</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反映用于城乡生活困难居民的临时救助支出。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大中型水库移民后期扶持基金支出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移民补助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反映大中型水库移民后期扶持基金安排的直接发放给大中型水库农村移民的补助支出。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大中型水库移民后期扶持基金支出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基础设施建设和经济发展</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反映大中型水库移民后期扶持基金安排用于扶持大中型水库移民生产生活的基础设施建设、经济建设、产业发展项目支出等。</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退役军人管理事务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拥军优属</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反映开展拥军优属活动的支出。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退役军人管理事务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其他退役军伍事务管理支出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反映除上述项目以外其他用于退役军人事务管理方面的支出。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财政代缴社会保险费支出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财政代缴其他社会保险费支出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反映在政策规定范围内，财政为生活困难人员缴纳的其他社会保险支出。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反映除上述项目以外其他用于社会保障和就业方面的支出。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）其他卫生健康管理事务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反映除上述项目以外其他用于卫生健康管理事务方面的支出。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基层医疗卫生机构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乡镇卫生院</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反映用于乡镇卫生院的支出。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公共卫生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基本公共卫生服务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反映基本公共卫生服务支出。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公共卫生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突发公共卫生事件应急</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反映用于突发公共卫生事件应急处理的支出。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公共卫生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其他公共卫生支出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反映除上述项目以外的其他用于公共卫生方面的支出。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计划生育事务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计划生育服务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反映计划生育服务支出。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计划生育事务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其他计划生育事务支出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反映除上述项目以外其他用于计划生育管理事务方面的支出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行政单位医疗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医疗救助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城乡医疗救助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反映财政用于城乡困难群众医疗救助的支出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优抚对象医疗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优抚对象医疗补助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反映按规定补助优抚对象的医疗经费。</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优抚对象医疗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其他优抚对象医疗支出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反映除优抚对象医疗补助以外的其他优抚对象医疗支出。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节能环保支出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污染防治</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水体</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反映政府在排水、污水处理、水污染防治、湖库生态环境保护、水源地保护、国土江河综合整治、河流治理与保护、地下水修复与保护等方面的支出。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节能环保支出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自然生态保护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农村环境保护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住宅建设与房地产市场监管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反映调控房地产市场运行、研究拟订城镇住房制度改革法规、对住房公积金和其他房改资金进行政策指导并监督使用等方面的支出。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城乡社区规划与管理</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城乡社区规划与管理</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反映城乡社区、防灾减灾、历史名城规划制定与管理等方面的支出。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城乡社区公共设施</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其他城乡社区公共设施支出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反映除上述项目以外其他用于城乡社区公共设施方面的支出。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城乡社区环境卫生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城乡社区环境卫生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反映城乡社区道路清扫、垃圾清运与处理、公厕建设与维护、园林绿化等方面的支出。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城乡社区支出212（类）国有土地使用权出让收入安排的支出08（款）征地和拆迁补偿支出01（项）：反映新疆生产建设兵团和地方政府在征地和收购土地过程中支付的土地补偿费、安置补助费、地上附着和青苗补偿费、拆迁补偿费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城乡社区支出212（类）国有土地使用权出让收入安排的支出08（款）城市建设支出03（项）：反映土地出让收入用于完善国有土地使用功能的配套设施建设和城市基础设施建设支出。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城乡社区支出212（类）国有土地使用权出让收入安排的支出08（款）棚户区改造支出（项）：反映土地出让收入按规定用于城市和国有工矿棚户区改造的支出。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城乡社区支出212（类）国有土地使用权出让收入安排的支出08（款）农业农村生态环境支出16（项）：反映土地出让收入用于农村人居环境整治、与农业农村直接相关的山水林田湖草生态保护修复等方面的支出。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城乡社区支出212（类）国有土地使用权出让收入安排的支出08（款）其他国有土地使用权出让收入安排的支出99（项）：反映土地收入用于其他方面的支出。不包括市县级政府当年按规定用于土地出让收入向中央和省级政府缴纳的新增建设用地土地有偿使用费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其他城乡社区支出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其他城乡社区支出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反映除上述项目以外其他用于城乡社区方面的支出。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农业农村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病虫害控制</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反映用于病虫鼠害及疫情监测、预报、预防、控制、检疫、防疫所需的仪器、设施、药物、疫苗、种苗，疫畜（禽、鱼、植物）防治、扑杀补偿及劳务补助、菌（毒）</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种保藏及动植物及其产品检疫、检测等方面的</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农业农村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农产品质量安全</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反映用于农产品及其投入品的质量安全评估、监测、抽查、认证、应急处置，相关标准的制定、修订、实施、监管等方面的支出。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林业和草原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林业草原防灾减灾</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反映用于病虫害等有害生物灾害、森林草原防火、野生动物疫病灾害等方面的支出。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林业和草原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其他林业和草原支出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反映除上述项目以外其他用于林业和草原方面的支出。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防汛</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其他水利支出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反映除上述项目以外其他用于水利方面的支出。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巩固脱贫衔接乡村振兴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农村基础设施建设</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反映用于农村欠发达地区乡村道路、住房、基本农田、水利设施、人畜饮水、生态环境保护等生产生活条件改善方面的支出。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巩固脱贫衔接乡村振兴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生产发展</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反映用于农村欠发达地区发展种植业、养殖业、畜牧业、农副产品加工、林果地建设等生产发展项目以及相关技术推广等方面的项目支出。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巩固脱贫衔接乡村振兴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贷款奖补和贴息</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反映用于农村欠发达地区巩固拓展脱贫攻坚成果同乡村振兴有效衔接贷款的奖补和贴息支出。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巩固脱贫衔接乡村振兴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其他巩固脱贫衔接乡村振兴支出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反映除上述项目以外其他用于巩固拓展脱贫攻坚成果同乡村振兴有效衔接方面的支出。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农村综合改革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对村民委员会和村党支部的补助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反映各级财政对村民委员会和村党支部的补助支出，以及支持建立县级基本财力保障机制安排的村级组织运转奖补资金。</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普惠金融发展支出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农业保险保费补贴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反映对农民或农业生产经营组织投保农业保险给予的补贴。</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普惠金融发展支出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创业担保贷款贴息及奖补</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反映财政用于符合条件的人员和小微企业创业担保贷款的贴息及奖补支出。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农林水支出213（类）大中型水库库区基金安排的支出66（款）基础设施建设和经济发展01（项）：反映大中型水库库区基金安排用于改善库区及移民安置区生产生活条件的基础设施建设、经济建设、产业发展项目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其他农林水支出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其他农林水支出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反映除化解债务支出以外其他用于农林水方面的支出。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交通运输</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其他交通运输支出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其他交通运输支出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反映其他交通运输支出中除对公共交通运营补助以外的其他支出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制造业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其他制造业支出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反映除上述项目以外其他用于制造业方面的支出。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工业和信息产业监管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产业发展</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反映工业和信息化产业发展的支出。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工业和信息产业监管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其他工业和信息产业监管支出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反映除上述项目以外其他用于工业和信息产业监管方面的支出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反映其他商业服务业等支出中除上述项目以外的其他支出。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住房保障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保障性安居工程支出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公共租赁住房</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反映新建、改建、购买、租赁、维护和管理公共租赁住房支出。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住房保障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保障性安居工程支出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老旧小区改造</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反映用于老旧小区改造方面的支出。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住房保障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住房改革支出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住房公积金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反映行政事业单位按人力资源和社会保障部、财政部规定的基本工资和津贴以及规定比例为职工缴纳的住房公积金</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粮油物资储备支出222（类）重要商品储备05（款）应急物资储备11（项）：反映用于救灾物资、防汛抗旱物资等应急物资储备的支出。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应急管理事务01（款）机关服务03（项）：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灾害防治及应急管理支出224（类）应急管理事务01（款）灾害风险防治04（项）：反映组织、指导、协调各类风险灾害防范治理方面的支出。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灾害防治及应急管理支出224（类）应急管理事务01（款）安全监管06（项）：反映安全生产综合监督管理和工贸行业安全生产监督管理等方面的支出。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灾害防治及应急管理支出224（类）应急管理事务01（款）应急救援08（项）：反映安全生产、自然灾害应急救援方面的支出。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灾害防治及应急管理支出224（类）应急管理事务01（款）应急管理09（项）：反映用于应急管理的法律法规制定修订，应急预案演练、协调保障等方面的支出。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灾害防治及应急管理支出224（类）应急管理事务01（款）其他应急管理支出99（项）：反映除上述项目外的其他应急管理方面的支出。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灾害防治及应急管理支出224（类）自然灾害防治06（款）地质灾害防治01（项）：反映防治地质灾害方面的支出。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灾害防治及应急管理支出224（类）自然灾害防治06（款）森林草原防灾减灾02（项）：反映防治森林草原火灾、自然水旱灾害等发生的支出。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灾害防治及应急管理支出224（类）自然灾害救灾及恢复重建支出07（款）自然灾害救灾补助03（项）：反映用于应对重大自然灾害应急救援和受灾群众救助的支出。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其他支出229（类）其他政府性基金及对应专项债务收入安排的支出04（款）其他地方自行试点项目收益专项债券收入安排的支出02（项）：其他地方自行试点项目收益专项债券收入安排的支出。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其他支出229（类）彩票公益金安排的支出60（款）用于社会福利的彩票公益金支出02（项）：反映用于社会福利和社会救助的彩票公益金支出。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其他支出229（类）彩票公益金安排的支出60（款）用于残疾人事业的彩票公益金支出06（项）：反映用于残疾人事业的彩票公益金支出。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其他支出229（类）彩票公益金安排的支出60（款）用于城乡医疗救助的彩票公益金支出13（项）：反映用于城乡医疗救助的彩票公益金支出。</w:t>
      </w:r>
    </w:p>
    <w:p>
      <w:pPr>
        <w:pStyle w:val="26"/>
        <w:keepNext w:val="0"/>
        <w:keepLines w:val="0"/>
        <w:pageBreakBefore w:val="0"/>
        <w:widowControl w:val="0"/>
        <w:numPr>
          <w:ilvl w:val="0"/>
          <w:numId w:val="1"/>
        </w:numPr>
        <w:kinsoku/>
        <w:wordWrap/>
        <w:overflowPunct/>
        <w:topLinePunct w:val="0"/>
        <w:autoSpaceDE/>
        <w:autoSpaceDN/>
        <w:bidi w:val="0"/>
        <w:snapToGrid/>
        <w:spacing w:line="570" w:lineRule="exact"/>
        <w:ind w:left="0" w:leftChars="0" w:right="0" w:rightChars="0" w:firstLine="400" w:firstLineChars="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反映除上述项目以外其他不能划分到具体功能科目中的支出项目</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400" w:firstLineChars="0"/>
        <w:jc w:val="both"/>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基本支出：指为保障机构正常运转、完成日常工作任务而发生的人员支出和公用支出。</w:t>
      </w:r>
    </w:p>
    <w:p>
      <w:pPr>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400" w:firstLineChars="0"/>
        <w:jc w:val="both"/>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项目支出：指在基本支出之外为完成特定行政任务和事业发展目标所发生的支出。</w:t>
      </w:r>
      <w:r>
        <w:rPr>
          <w:rFonts w:ascii="仿宋_GB2312" w:eastAsia="仿宋_GB2312"/>
          <w:color w:val="auto"/>
          <w:spacing w:val="0"/>
          <w:sz w:val="32"/>
          <w:szCs w:val="32"/>
          <w:highlight w:val="none"/>
        </w:rPr>
        <w:t xml:space="preserve"> </w:t>
      </w:r>
    </w:p>
    <w:p>
      <w:pPr>
        <w:pStyle w:val="26"/>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400" w:firstLineChars="0"/>
        <w:jc w:val="both"/>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400" w:firstLineChars="0"/>
        <w:jc w:val="both"/>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br w:type="page"/>
      </w:r>
    </w:p>
    <w:p>
      <w:pPr>
        <w:keepNext w:val="0"/>
        <w:keepLines w:val="0"/>
        <w:widowControl/>
        <w:suppressLineNumbers w:val="0"/>
        <w:spacing w:before="0" w:beforeAutospacing="0" w:after="0" w:afterAutospacing="0" w:line="600" w:lineRule="atLeast"/>
        <w:ind w:left="0" w:right="0" w:firstLine="0"/>
        <w:jc w:val="center"/>
        <w:rPr>
          <w:rFonts w:hint="default" w:ascii="Times New Roman" w:hAnsi="Times New Roman" w:cs="Times New Roman"/>
          <w:i w:val="0"/>
          <w:iCs w:val="0"/>
          <w:caps w:val="0"/>
          <w:color w:val="000000"/>
          <w:spacing w:val="0"/>
          <w:sz w:val="21"/>
          <w:szCs w:val="21"/>
        </w:rPr>
      </w:pPr>
      <w:bookmarkStart w:id="76" w:name="_Toc15396618"/>
      <w:r>
        <w:rPr>
          <w:rFonts w:ascii="黑体" w:hAnsi="宋体" w:eastAsia="黑体" w:cs="黑体"/>
          <w:i w:val="0"/>
          <w:iCs w:val="0"/>
          <w:caps w:val="0"/>
          <w:color w:val="000000"/>
          <w:spacing w:val="0"/>
          <w:kern w:val="0"/>
          <w:sz w:val="44"/>
          <w:szCs w:val="44"/>
          <w:lang w:val="en-US" w:eastAsia="zh-CN" w:bidi="ar"/>
        </w:rPr>
        <w:t>第</w:t>
      </w:r>
      <w:r>
        <w:rPr>
          <w:rFonts w:hint="default" w:ascii="黑体" w:hAnsi="宋体" w:eastAsia="黑体" w:cs="黑体"/>
          <w:b w:val="0"/>
          <w:bCs w:val="0"/>
          <w:i w:val="0"/>
          <w:iCs w:val="0"/>
          <w:caps w:val="0"/>
          <w:color w:val="000000"/>
          <w:spacing w:val="0"/>
          <w:kern w:val="0"/>
          <w:sz w:val="44"/>
          <w:szCs w:val="44"/>
          <w:lang w:val="en-US" w:eastAsia="zh-CN" w:bidi="ar"/>
        </w:rPr>
        <w:t>四部分 附件</w:t>
      </w:r>
    </w:p>
    <w:p>
      <w:pPr>
        <w:keepNext w:val="0"/>
        <w:keepLines w:val="0"/>
        <w:widowControl/>
        <w:suppressLineNumbers w:val="0"/>
        <w:spacing w:before="0" w:beforeAutospacing="0" w:after="0" w:afterAutospacing="0" w:line="572" w:lineRule="atLeast"/>
        <w:ind w:left="0" w:right="0" w:firstLine="0"/>
        <w:jc w:val="left"/>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部门预算项目支出绩效自评表（2022年度）</w:t>
      </w:r>
    </w:p>
    <w:p>
      <w:pPr>
        <w:pStyle w:val="2"/>
        <w:keepNext w:val="0"/>
        <w:keepLines w:val="0"/>
        <w:pageBreakBefore w:val="0"/>
        <w:widowControl w:val="0"/>
        <w:numPr>
          <w:ilvl w:val="0"/>
          <w:numId w:val="0"/>
        </w:numPr>
        <w:kinsoku/>
        <w:wordWrap/>
        <w:overflowPunct/>
        <w:topLinePunct w:val="0"/>
        <w:autoSpaceDE/>
        <w:autoSpaceDN/>
        <w:bidi w:val="0"/>
        <w:spacing w:after="0" w:afterLines="0" w:line="570" w:lineRule="exact"/>
        <w:ind w:left="0" w:leftChars="0" w:right="0" w:rightChars="0" w:firstLine="640" w:firstLineChars="200"/>
        <w:jc w:val="both"/>
        <w:textAlignment w:val="auto"/>
        <w:rPr>
          <w:rFonts w:hint="eastAsia" w:ascii="仿宋_GB2312" w:hAnsi="仿宋_GB2312" w:eastAsia="仿宋_GB2312" w:cs="仿宋_GB2312"/>
          <w:color w:val="000000"/>
          <w:spacing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0" w:lineRule="exact"/>
        <w:ind w:left="0" w:leftChars="0" w:right="0" w:rightChars="0" w:firstLine="2200" w:firstLineChars="500"/>
        <w:jc w:val="both"/>
        <w:textAlignment w:val="auto"/>
        <w:outlineLvl w:val="9"/>
        <w:rPr>
          <w:rFonts w:hint="default" w:ascii="黑体" w:hAnsi="黑体" w:eastAsia="黑体"/>
          <w:color w:val="000000" w:themeColor="text1"/>
          <w:spacing w:val="0"/>
          <w:sz w:val="44"/>
          <w:szCs w:val="44"/>
          <w:highlight w:val="none"/>
          <w14:textFill>
            <w14:solidFill>
              <w14:schemeClr w14:val="tx1"/>
            </w14:solidFill>
          </w14:textFill>
        </w:rPr>
      </w:pPr>
      <w:r>
        <w:rPr>
          <w:rFonts w:hint="default" w:ascii="黑体" w:hAnsi="黑体" w:eastAsia="黑体"/>
          <w:color w:val="000000" w:themeColor="text1"/>
          <w:spacing w:val="0"/>
          <w:sz w:val="44"/>
          <w:szCs w:val="44"/>
          <w:highlight w:val="none"/>
          <w14:textFill>
            <w14:solidFill>
              <w14:schemeClr w14:val="tx1"/>
            </w14:solidFill>
          </w14:textFill>
        </w:rPr>
        <w:t>详见附件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bookmarkStart w:id="77" w:name="_Toc5121"/>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Style w:val="23"/>
          <w:rFonts w:hint="eastAsia" w:ascii="方正小标宋简体" w:hAnsi="方正小标宋简体" w:eastAsia="方正小标宋简体" w:cs="方正小标宋简体"/>
          <w:b w:val="0"/>
          <w:color w:val="000000" w:themeColor="text1"/>
          <w:spacing w:val="0"/>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highlight w:val="none"/>
          <w14:textFill>
            <w14:solidFill>
              <w14:schemeClr w14:val="tx1"/>
            </w14:solidFill>
          </w14:textFill>
        </w:rPr>
        <w:t>第</w:t>
      </w:r>
      <w:r>
        <w:rPr>
          <w:rStyle w:val="23"/>
          <w:rFonts w:hint="eastAsia" w:ascii="方正小标宋简体" w:hAnsi="方正小标宋简体" w:eastAsia="方正小标宋简体" w:cs="方正小标宋简体"/>
          <w:b w:val="0"/>
          <w:color w:val="000000" w:themeColor="text1"/>
          <w:spacing w:val="0"/>
          <w:highlight w:val="none"/>
          <w14:textFill>
            <w14:solidFill>
              <w14:schemeClr w14:val="tx1"/>
            </w14:solidFill>
          </w14:textFill>
        </w:rPr>
        <w:t xml:space="preserve">五部分 </w:t>
      </w:r>
      <w:r>
        <w:rPr>
          <w:rStyle w:val="23"/>
          <w:rFonts w:hint="eastAsia" w:ascii="方正小标宋简体" w:hAnsi="方正小标宋简体" w:eastAsia="方正小标宋简体" w:cs="方正小标宋简体"/>
          <w:b w:val="0"/>
          <w:color w:val="000000" w:themeColor="text1"/>
          <w:spacing w:val="0"/>
          <w:highlight w:val="none"/>
          <w:lang w:val="en-US" w:eastAsia="zh-CN"/>
          <w14:textFill>
            <w14:solidFill>
              <w14:schemeClr w14:val="tx1"/>
            </w14:solidFill>
          </w14:textFill>
        </w:rPr>
        <w:t xml:space="preserve"> </w:t>
      </w:r>
      <w:r>
        <w:rPr>
          <w:rStyle w:val="23"/>
          <w:rFonts w:hint="eastAsia" w:ascii="方正小标宋简体" w:hAnsi="方正小标宋简体" w:eastAsia="方正小标宋简体" w:cs="方正小标宋简体"/>
          <w:b w:val="0"/>
          <w:color w:val="000000" w:themeColor="text1"/>
          <w:spacing w:val="0"/>
          <w:highlight w:val="none"/>
          <w14:textFill>
            <w14:solidFill>
              <w14:schemeClr w14:val="tx1"/>
            </w14:solidFill>
          </w14:textFill>
        </w:rPr>
        <w:t>附表</w:t>
      </w:r>
      <w:bookmarkEnd w:id="76"/>
      <w:bookmarkEnd w:id="77"/>
      <w:bookmarkStart w:id="78" w:name="_Toc15396619"/>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9"/>
        <w:rPr>
          <w:rStyle w:val="24"/>
          <w:rFonts w:hint="eastAsia" w:ascii="仿宋" w:hAnsi="仿宋" w:eastAsia="仿宋"/>
          <w:b w:val="0"/>
          <w:bCs w:val="0"/>
          <w:color w:val="000000" w:themeColor="text1"/>
          <w:spacing w:val="0"/>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1"/>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bookmarkStart w:id="79" w:name="_Toc29663"/>
      <w:r>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一、</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收入支出决算总表</w:t>
      </w:r>
      <w:bookmarkEnd w:id="78"/>
      <w:bookmarkEnd w:id="79"/>
      <w:bookmarkStart w:id="80" w:name="_Toc15396620"/>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1"/>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bookmarkStart w:id="81" w:name="_Toc5830"/>
      <w:r>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二、</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收入决算表</w:t>
      </w:r>
      <w:bookmarkEnd w:id="80"/>
      <w:bookmarkEnd w:id="81"/>
      <w:bookmarkStart w:id="82" w:name="_Toc15396621"/>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1"/>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bookmarkStart w:id="83" w:name="_Toc17595"/>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三、</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支</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出决算表</w:t>
      </w:r>
      <w:bookmarkEnd w:id="82"/>
      <w:bookmarkEnd w:id="83"/>
      <w:bookmarkStart w:id="84" w:name="_Toc15396622"/>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1"/>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pPr>
      <w:bookmarkStart w:id="85" w:name="_Toc7243"/>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四、</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财</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政拨款收入支出决算总表</w:t>
      </w:r>
      <w:bookmarkEnd w:id="84"/>
      <w:bookmarkEnd w:id="85"/>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bookmarkStart w:id="86" w:name="_Toc15396623"/>
      <w:bookmarkStart w:id="87" w:name="_Toc16635"/>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五、</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财</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政拨款支出决算明细表</w:t>
      </w:r>
      <w:bookmarkEnd w:id="86"/>
      <w:bookmarkEnd w:id="87"/>
      <w:bookmarkStart w:id="88" w:name="_Toc15396624"/>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bookmarkStart w:id="89" w:name="_Toc8638"/>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六、</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一</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般公共预算财政拨款支出决算表</w:t>
      </w:r>
      <w:bookmarkEnd w:id="88"/>
      <w:bookmarkEnd w:id="89"/>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bookmarkStart w:id="90" w:name="_Toc15396625"/>
      <w:bookmarkStart w:id="91" w:name="_Toc24625"/>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七、</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一</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般公共预算财政拨款支出决算明细表</w:t>
      </w:r>
      <w:bookmarkEnd w:id="90"/>
      <w:bookmarkEnd w:id="91"/>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bookmarkStart w:id="92" w:name="_Toc15396626"/>
      <w:bookmarkStart w:id="93" w:name="_Toc23318"/>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八、</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一</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般公共预算财政拨款基本支出决算表</w:t>
      </w:r>
      <w:bookmarkEnd w:id="92"/>
      <w:bookmarkEnd w:id="93"/>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bookmarkStart w:id="94" w:name="_Toc15396627"/>
      <w:bookmarkStart w:id="95" w:name="_Toc32347"/>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九、</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一</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般公共预算财政拨款项目支出决算表</w:t>
      </w:r>
      <w:bookmarkEnd w:id="94"/>
      <w:bookmarkEnd w:id="95"/>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bookmarkStart w:id="96" w:name="_Toc15396629"/>
      <w:bookmarkStart w:id="97" w:name="_Toc29849"/>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十、</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政</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府性基金预算财政拨款收入支出决算表</w:t>
      </w:r>
      <w:bookmarkEnd w:id="96"/>
      <w:bookmarkEnd w:id="97"/>
    </w:p>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bookmarkStart w:id="98" w:name="_Toc24040"/>
      <w:bookmarkStart w:id="99" w:name="_Toc15396631"/>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十</w:t>
      </w:r>
      <w:r>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一</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b w:val="0"/>
          <w:color w:val="000000" w:themeColor="text1"/>
          <w:spacing w:val="0"/>
          <w:sz w:val="32"/>
          <w:szCs w:val="32"/>
          <w:highlight w:val="none"/>
          <w14:textFill>
            <w14:solidFill>
              <w14:schemeClr w14:val="tx1"/>
            </w14:solidFill>
          </w14:textFill>
        </w:rPr>
        <w:t>国</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有资本经营预算</w:t>
      </w:r>
      <w:r>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财政拨款收入</w:t>
      </w:r>
      <w:r>
        <w:rPr>
          <w:rStyle w:val="24"/>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支出决算表</w:t>
      </w:r>
      <w:bookmarkEnd w:id="98"/>
      <w:bookmarkEnd w:id="99"/>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pPr>
      <w:bookmarkStart w:id="100" w:name="_Toc14676"/>
      <w:r>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十二、国有资本经营预算财政拨款支出决算表</w:t>
      </w:r>
    </w:p>
    <w:bookmarkEnd w:id="100"/>
    <w:p>
      <w:pPr>
        <w:pStyle w:val="5"/>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both"/>
        <w:textAlignment w:val="auto"/>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sectPr>
          <w:headerReference r:id="rId5" w:type="default"/>
          <w:footerReference r:id="rId6" w:type="default"/>
          <w:pgSz w:w="11906" w:h="16838"/>
          <w:pgMar w:top="2098" w:right="1587" w:bottom="1984" w:left="1587" w:header="1247" w:footer="1247"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101" w:name="_Toc11962"/>
      <w:r>
        <w:rPr>
          <w:rStyle w:val="24"/>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十三、财政拨款“三公”经费支出决算表</w:t>
      </w:r>
      <w:bookmarkEnd w:id="101"/>
    </w:p>
    <w:p>
      <w:pPr>
        <w:pStyle w:val="1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153"/>
        </w:tabs>
        <w:bidi w:val="0"/>
        <w:jc w:val="left"/>
        <w:rPr>
          <w:rFonts w:hint="eastAsia"/>
          <w:lang w:val="en-US" w:eastAsia="zh-CN"/>
        </w:rPr>
      </w:pPr>
      <w:r>
        <w:rPr>
          <w:rFonts w:hint="eastAsia"/>
          <w:lang w:val="en-US" w:eastAsia="zh-CN"/>
        </w:rPr>
        <w:tab/>
      </w:r>
    </w:p>
    <w:sectPr>
      <w:footerReference r:id="rId8" w:type="first"/>
      <w:footerReference r:id="rId7" w:type="default"/>
      <w:pgSz w:w="16838" w:h="11906" w:orient="landscape"/>
      <w:pgMar w:top="1587" w:right="1191" w:bottom="1587" w:left="1191" w:header="1247" w:footer="1247"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隶书简体">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䡡湄楮札䍓ⵆ潮瑳">
    <w:panose1 w:val="02010609000101010101"/>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524"/>
      <w:rPr>
        <w:rFonts w:ascii="宋体" w:hAnsi="宋体" w:eastAsia="宋体" w:cs="宋体"/>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sdt>
                            <w:sdtPr>
                              <w:rPr>
                                <w:rFonts w:hint="eastAsia" w:asciiTheme="majorEastAsia" w:hAnsiTheme="majorEastAsia" w:eastAsiaTheme="majorEastAsia" w:cstheme="majorEastAsia"/>
                                <w:sz w:val="28"/>
                                <w:szCs w:val="28"/>
                              </w:rPr>
                              <w:id w:val="-1"/>
                              <w:docPartObj>
                                <w:docPartGallery w:val="autotext"/>
                              </w:docPartObj>
                            </w:sdtPr>
                            <w:sdtEndPr>
                              <w:rPr>
                                <w:rFonts w:hint="eastAsia" w:asciiTheme="majorEastAsia" w:hAnsiTheme="majorEastAsia" w:eastAsiaTheme="majorEastAsia" w:cstheme="majorEastAsia"/>
                                <w:sz w:val="28"/>
                                <w:szCs w:val="28"/>
                              </w:rPr>
                            </w:sdtEndPr>
                            <w:sdtContent>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sdt>
                      <w:sdtPr>
                        <w:rPr>
                          <w:rFonts w:hint="eastAsia" w:asciiTheme="majorEastAsia" w:hAnsiTheme="majorEastAsia" w:eastAsiaTheme="majorEastAsia" w:cstheme="majorEastAsia"/>
                          <w:sz w:val="28"/>
                          <w:szCs w:val="28"/>
                        </w:rPr>
                        <w:id w:val="-1"/>
                        <w:docPartObj>
                          <w:docPartGallery w:val="autotext"/>
                        </w:docPartObj>
                      </w:sdtPr>
                      <w:sdtEndPr>
                        <w:rPr>
                          <w:rFonts w:hint="eastAsia" w:asciiTheme="majorEastAsia" w:hAnsiTheme="majorEastAsia" w:eastAsiaTheme="majorEastAsia" w:cstheme="majorEastAsia"/>
                          <w:sz w:val="28"/>
                          <w:szCs w:val="28"/>
                        </w:rPr>
                      </w:sdtEndPr>
                      <w:sdtContent>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sdtContent>
                    </w:sdt>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sdt>
                            <w:sdtPr>
                              <w:rPr>
                                <w:rFonts w:hint="eastAsia" w:asciiTheme="majorEastAsia" w:hAnsiTheme="majorEastAsia" w:eastAsiaTheme="majorEastAsia" w:cstheme="majorEastAsia"/>
                                <w:sz w:val="28"/>
                                <w:szCs w:val="28"/>
                              </w:rPr>
                              <w:id w:val="588104270"/>
                              <w:docPartObj>
                                <w:docPartGallery w:val="autotext"/>
                              </w:docPartObj>
                            </w:sdtPr>
                            <w:sdtEndPr>
                              <w:rPr>
                                <w:rFonts w:hint="eastAsia" w:asciiTheme="majorEastAsia" w:hAnsiTheme="majorEastAsia" w:eastAsiaTheme="majorEastAsia" w:cstheme="majorEastAsia"/>
                                <w:sz w:val="28"/>
                                <w:szCs w:val="28"/>
                              </w:rPr>
                            </w:sdtEndPr>
                            <w:sdtContent>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sdt>
                      <w:sdtPr>
                        <w:rPr>
                          <w:rFonts w:hint="eastAsia" w:asciiTheme="majorEastAsia" w:hAnsiTheme="majorEastAsia" w:eastAsiaTheme="majorEastAsia" w:cstheme="majorEastAsia"/>
                          <w:sz w:val="28"/>
                          <w:szCs w:val="28"/>
                        </w:rPr>
                        <w:id w:val="588104270"/>
                        <w:docPartObj>
                          <w:docPartGallery w:val="autotext"/>
                        </w:docPartObj>
                      </w:sdtPr>
                      <w:sdtEndPr>
                        <w:rPr>
                          <w:rFonts w:hint="eastAsia" w:asciiTheme="majorEastAsia" w:hAnsiTheme="majorEastAsia" w:eastAsiaTheme="majorEastAsia" w:cstheme="majorEastAsia"/>
                          <w:sz w:val="28"/>
                          <w:szCs w:val="28"/>
                        </w:rPr>
                      </w:sdtEndPr>
                      <w:sdtContent>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sdtContent>
                    </w:sdt>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63820"/>
    <w:multiLevelType w:val="singleLevel"/>
    <w:tmpl w:val="A5663820"/>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6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6487A"/>
    <w:rsid w:val="00065F8F"/>
    <w:rsid w:val="000768F2"/>
    <w:rsid w:val="0009184B"/>
    <w:rsid w:val="0009593C"/>
    <w:rsid w:val="000B047F"/>
    <w:rsid w:val="000B5923"/>
    <w:rsid w:val="000B5A48"/>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A25A9"/>
    <w:rsid w:val="002B2613"/>
    <w:rsid w:val="002F1818"/>
    <w:rsid w:val="002F567B"/>
    <w:rsid w:val="003216A9"/>
    <w:rsid w:val="00351C25"/>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20BF"/>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6F79BB"/>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B5F18"/>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331A1"/>
    <w:rsid w:val="00E33202"/>
    <w:rsid w:val="00E336A9"/>
    <w:rsid w:val="00E50624"/>
    <w:rsid w:val="00E568DF"/>
    <w:rsid w:val="00E64269"/>
    <w:rsid w:val="00E82267"/>
    <w:rsid w:val="00EA010F"/>
    <w:rsid w:val="00ED1B63"/>
    <w:rsid w:val="00ED3C1F"/>
    <w:rsid w:val="00ED4085"/>
    <w:rsid w:val="00ED420E"/>
    <w:rsid w:val="00EE2F57"/>
    <w:rsid w:val="00EF1694"/>
    <w:rsid w:val="00EF4C34"/>
    <w:rsid w:val="00EF77C6"/>
    <w:rsid w:val="00F05438"/>
    <w:rsid w:val="00F1361C"/>
    <w:rsid w:val="00F160C7"/>
    <w:rsid w:val="00F36D8F"/>
    <w:rsid w:val="00F417B1"/>
    <w:rsid w:val="00F602DF"/>
    <w:rsid w:val="00F81FD9"/>
    <w:rsid w:val="00F841AA"/>
    <w:rsid w:val="00FA23E8"/>
    <w:rsid w:val="00FD3CC1"/>
    <w:rsid w:val="00FF1E02"/>
    <w:rsid w:val="00FF30B4"/>
    <w:rsid w:val="0127740F"/>
    <w:rsid w:val="02031321"/>
    <w:rsid w:val="028311AF"/>
    <w:rsid w:val="02857BFA"/>
    <w:rsid w:val="029D47B9"/>
    <w:rsid w:val="02BC0854"/>
    <w:rsid w:val="02D50104"/>
    <w:rsid w:val="02EE5A7D"/>
    <w:rsid w:val="030709E2"/>
    <w:rsid w:val="03582C6A"/>
    <w:rsid w:val="037B3E2D"/>
    <w:rsid w:val="04124B80"/>
    <w:rsid w:val="04247911"/>
    <w:rsid w:val="04500DBA"/>
    <w:rsid w:val="0455014B"/>
    <w:rsid w:val="04562D54"/>
    <w:rsid w:val="048B5C67"/>
    <w:rsid w:val="04A30A87"/>
    <w:rsid w:val="051E6A56"/>
    <w:rsid w:val="05684FF4"/>
    <w:rsid w:val="05830321"/>
    <w:rsid w:val="05917977"/>
    <w:rsid w:val="05974C27"/>
    <w:rsid w:val="05D87305"/>
    <w:rsid w:val="05F159E7"/>
    <w:rsid w:val="05F81B7E"/>
    <w:rsid w:val="060C47D5"/>
    <w:rsid w:val="062B2341"/>
    <w:rsid w:val="0671520C"/>
    <w:rsid w:val="067E79D2"/>
    <w:rsid w:val="068A6475"/>
    <w:rsid w:val="06965CA6"/>
    <w:rsid w:val="06AF370D"/>
    <w:rsid w:val="06D53145"/>
    <w:rsid w:val="06D71DB9"/>
    <w:rsid w:val="06E1298C"/>
    <w:rsid w:val="07022379"/>
    <w:rsid w:val="070866B2"/>
    <w:rsid w:val="07152268"/>
    <w:rsid w:val="075A11BF"/>
    <w:rsid w:val="07784F32"/>
    <w:rsid w:val="078643D2"/>
    <w:rsid w:val="07F341CA"/>
    <w:rsid w:val="08053E60"/>
    <w:rsid w:val="085E4F46"/>
    <w:rsid w:val="08931F10"/>
    <w:rsid w:val="08A65306"/>
    <w:rsid w:val="08A74FB5"/>
    <w:rsid w:val="08E27EB6"/>
    <w:rsid w:val="08E40908"/>
    <w:rsid w:val="08FD6156"/>
    <w:rsid w:val="09191DCA"/>
    <w:rsid w:val="09551EC7"/>
    <w:rsid w:val="09632B32"/>
    <w:rsid w:val="09EF4F3A"/>
    <w:rsid w:val="0A461036"/>
    <w:rsid w:val="0A5F3141"/>
    <w:rsid w:val="0A9B4238"/>
    <w:rsid w:val="0ABD6F36"/>
    <w:rsid w:val="0ADD3B53"/>
    <w:rsid w:val="0AEC60C7"/>
    <w:rsid w:val="0B204BAA"/>
    <w:rsid w:val="0B2D33D4"/>
    <w:rsid w:val="0B321527"/>
    <w:rsid w:val="0B470A42"/>
    <w:rsid w:val="0B661E7B"/>
    <w:rsid w:val="0BCA24DD"/>
    <w:rsid w:val="0BCE1D3D"/>
    <w:rsid w:val="0C3F4767"/>
    <w:rsid w:val="0CB24C43"/>
    <w:rsid w:val="0CD5328F"/>
    <w:rsid w:val="0D7C0B60"/>
    <w:rsid w:val="0D804002"/>
    <w:rsid w:val="0DDA7292"/>
    <w:rsid w:val="0DE85FDF"/>
    <w:rsid w:val="0EB34BE5"/>
    <w:rsid w:val="0EE270C5"/>
    <w:rsid w:val="0EEE710D"/>
    <w:rsid w:val="0EF23C1F"/>
    <w:rsid w:val="0F002C5E"/>
    <w:rsid w:val="0F1A1664"/>
    <w:rsid w:val="0F522B0A"/>
    <w:rsid w:val="0F770613"/>
    <w:rsid w:val="0F972579"/>
    <w:rsid w:val="0FA34364"/>
    <w:rsid w:val="0FA935D5"/>
    <w:rsid w:val="0FC27FCF"/>
    <w:rsid w:val="101657BC"/>
    <w:rsid w:val="10636E76"/>
    <w:rsid w:val="108738DD"/>
    <w:rsid w:val="108B6136"/>
    <w:rsid w:val="10A74DC7"/>
    <w:rsid w:val="10AA4377"/>
    <w:rsid w:val="10B57E5D"/>
    <w:rsid w:val="10C055FF"/>
    <w:rsid w:val="10CF66F1"/>
    <w:rsid w:val="10E10B01"/>
    <w:rsid w:val="10E85316"/>
    <w:rsid w:val="10F36FE9"/>
    <w:rsid w:val="11216468"/>
    <w:rsid w:val="112F2E68"/>
    <w:rsid w:val="119866FB"/>
    <w:rsid w:val="11EC6530"/>
    <w:rsid w:val="120F044A"/>
    <w:rsid w:val="1234037E"/>
    <w:rsid w:val="1255782F"/>
    <w:rsid w:val="12617F82"/>
    <w:rsid w:val="12723729"/>
    <w:rsid w:val="12EC4F50"/>
    <w:rsid w:val="12EC7956"/>
    <w:rsid w:val="13773683"/>
    <w:rsid w:val="137C4F0F"/>
    <w:rsid w:val="13926C9A"/>
    <w:rsid w:val="13CC6BDA"/>
    <w:rsid w:val="13DE0626"/>
    <w:rsid w:val="1402100A"/>
    <w:rsid w:val="14294153"/>
    <w:rsid w:val="14860CE2"/>
    <w:rsid w:val="148A44CD"/>
    <w:rsid w:val="14A22D15"/>
    <w:rsid w:val="14CF6DBD"/>
    <w:rsid w:val="14E64A6D"/>
    <w:rsid w:val="14FD2118"/>
    <w:rsid w:val="153D24CF"/>
    <w:rsid w:val="154A4375"/>
    <w:rsid w:val="158B118B"/>
    <w:rsid w:val="15D11EA1"/>
    <w:rsid w:val="15D203BE"/>
    <w:rsid w:val="15FF5B4A"/>
    <w:rsid w:val="161E5752"/>
    <w:rsid w:val="165D74EC"/>
    <w:rsid w:val="167462DA"/>
    <w:rsid w:val="16983E1E"/>
    <w:rsid w:val="16B05204"/>
    <w:rsid w:val="16B73B56"/>
    <w:rsid w:val="16BB723D"/>
    <w:rsid w:val="16C775D6"/>
    <w:rsid w:val="171811A7"/>
    <w:rsid w:val="17F0497F"/>
    <w:rsid w:val="180143BE"/>
    <w:rsid w:val="18244947"/>
    <w:rsid w:val="182B619E"/>
    <w:rsid w:val="184C4059"/>
    <w:rsid w:val="1895165B"/>
    <w:rsid w:val="18951AE6"/>
    <w:rsid w:val="18A45381"/>
    <w:rsid w:val="18A92FC1"/>
    <w:rsid w:val="18E37940"/>
    <w:rsid w:val="18F54022"/>
    <w:rsid w:val="190D551D"/>
    <w:rsid w:val="19376CEF"/>
    <w:rsid w:val="193D2E87"/>
    <w:rsid w:val="19461073"/>
    <w:rsid w:val="199168BD"/>
    <w:rsid w:val="19BC5971"/>
    <w:rsid w:val="19D6682A"/>
    <w:rsid w:val="19DA49D0"/>
    <w:rsid w:val="1A8547E2"/>
    <w:rsid w:val="1ABA3499"/>
    <w:rsid w:val="1ACC6AF1"/>
    <w:rsid w:val="1AD026A7"/>
    <w:rsid w:val="1B3541B0"/>
    <w:rsid w:val="1B4D7D3E"/>
    <w:rsid w:val="1B586286"/>
    <w:rsid w:val="1BAC53B1"/>
    <w:rsid w:val="1BAD4CDF"/>
    <w:rsid w:val="1BB73370"/>
    <w:rsid w:val="1BDF5A71"/>
    <w:rsid w:val="1BFF6067"/>
    <w:rsid w:val="1C372E4F"/>
    <w:rsid w:val="1CBC4CC8"/>
    <w:rsid w:val="1CD65065"/>
    <w:rsid w:val="1D605F99"/>
    <w:rsid w:val="1D8403DE"/>
    <w:rsid w:val="1D844D68"/>
    <w:rsid w:val="1DD959B8"/>
    <w:rsid w:val="1DE64D42"/>
    <w:rsid w:val="1DE71C83"/>
    <w:rsid w:val="1DF52CF8"/>
    <w:rsid w:val="1E0E79B7"/>
    <w:rsid w:val="1E182EAC"/>
    <w:rsid w:val="1E431E16"/>
    <w:rsid w:val="1E5C7F61"/>
    <w:rsid w:val="1E7B1235"/>
    <w:rsid w:val="1E8B59E0"/>
    <w:rsid w:val="1E9163CE"/>
    <w:rsid w:val="1EB900FC"/>
    <w:rsid w:val="1F165B50"/>
    <w:rsid w:val="1F744F3D"/>
    <w:rsid w:val="1FF900D2"/>
    <w:rsid w:val="2023648F"/>
    <w:rsid w:val="202820DF"/>
    <w:rsid w:val="205E3D53"/>
    <w:rsid w:val="209F1076"/>
    <w:rsid w:val="20F26C76"/>
    <w:rsid w:val="211A2527"/>
    <w:rsid w:val="2131647E"/>
    <w:rsid w:val="215701CD"/>
    <w:rsid w:val="216A373C"/>
    <w:rsid w:val="21A869B8"/>
    <w:rsid w:val="21E776ED"/>
    <w:rsid w:val="222B7EC8"/>
    <w:rsid w:val="223034CD"/>
    <w:rsid w:val="223E73F5"/>
    <w:rsid w:val="22484CBB"/>
    <w:rsid w:val="22D375A3"/>
    <w:rsid w:val="22D60519"/>
    <w:rsid w:val="2331070E"/>
    <w:rsid w:val="23334716"/>
    <w:rsid w:val="233A4603"/>
    <w:rsid w:val="23546055"/>
    <w:rsid w:val="236368CA"/>
    <w:rsid w:val="236B7871"/>
    <w:rsid w:val="23B00685"/>
    <w:rsid w:val="23B51667"/>
    <w:rsid w:val="23B54931"/>
    <w:rsid w:val="23B8153D"/>
    <w:rsid w:val="23E80D4D"/>
    <w:rsid w:val="24027C92"/>
    <w:rsid w:val="240371BF"/>
    <w:rsid w:val="24286F37"/>
    <w:rsid w:val="246E39A6"/>
    <w:rsid w:val="24CC1A53"/>
    <w:rsid w:val="24EB7337"/>
    <w:rsid w:val="251B30B9"/>
    <w:rsid w:val="2541733C"/>
    <w:rsid w:val="254816C9"/>
    <w:rsid w:val="25482BE6"/>
    <w:rsid w:val="25501A62"/>
    <w:rsid w:val="258C3110"/>
    <w:rsid w:val="258E7126"/>
    <w:rsid w:val="258E7C04"/>
    <w:rsid w:val="25E9591F"/>
    <w:rsid w:val="260B5C9C"/>
    <w:rsid w:val="26137D49"/>
    <w:rsid w:val="261F21D6"/>
    <w:rsid w:val="265C2E11"/>
    <w:rsid w:val="268169ED"/>
    <w:rsid w:val="268642B5"/>
    <w:rsid w:val="273236CE"/>
    <w:rsid w:val="275A6A5F"/>
    <w:rsid w:val="27600F77"/>
    <w:rsid w:val="278120F9"/>
    <w:rsid w:val="278246A3"/>
    <w:rsid w:val="27B17652"/>
    <w:rsid w:val="27FF20F4"/>
    <w:rsid w:val="280E73BC"/>
    <w:rsid w:val="28106A57"/>
    <w:rsid w:val="285A0A85"/>
    <w:rsid w:val="285A113E"/>
    <w:rsid w:val="28B05A74"/>
    <w:rsid w:val="28B3224A"/>
    <w:rsid w:val="28C122CB"/>
    <w:rsid w:val="28D404EF"/>
    <w:rsid w:val="28D8432B"/>
    <w:rsid w:val="299635C5"/>
    <w:rsid w:val="29B44097"/>
    <w:rsid w:val="29C234BF"/>
    <w:rsid w:val="29CD3169"/>
    <w:rsid w:val="29CE3EA3"/>
    <w:rsid w:val="29FD04D3"/>
    <w:rsid w:val="2A024F28"/>
    <w:rsid w:val="2A0728FB"/>
    <w:rsid w:val="2A1372AC"/>
    <w:rsid w:val="2A19497D"/>
    <w:rsid w:val="2A256001"/>
    <w:rsid w:val="2A636B36"/>
    <w:rsid w:val="2A927900"/>
    <w:rsid w:val="2AA0252C"/>
    <w:rsid w:val="2AA65CBF"/>
    <w:rsid w:val="2AAE1670"/>
    <w:rsid w:val="2AD62479"/>
    <w:rsid w:val="2B11624D"/>
    <w:rsid w:val="2B17347C"/>
    <w:rsid w:val="2B1C03D7"/>
    <w:rsid w:val="2B593429"/>
    <w:rsid w:val="2B7B100E"/>
    <w:rsid w:val="2B903CFA"/>
    <w:rsid w:val="2B935AC8"/>
    <w:rsid w:val="2BB11992"/>
    <w:rsid w:val="2CF444DF"/>
    <w:rsid w:val="2D657807"/>
    <w:rsid w:val="2D85299D"/>
    <w:rsid w:val="2DCB20E8"/>
    <w:rsid w:val="2DCE08BE"/>
    <w:rsid w:val="2DE77F02"/>
    <w:rsid w:val="2DEC6934"/>
    <w:rsid w:val="2E0B7CB8"/>
    <w:rsid w:val="2E1874A5"/>
    <w:rsid w:val="2E2C27F5"/>
    <w:rsid w:val="2E36601E"/>
    <w:rsid w:val="2E732EAC"/>
    <w:rsid w:val="2E7D1BED"/>
    <w:rsid w:val="2EC47980"/>
    <w:rsid w:val="2EC9746A"/>
    <w:rsid w:val="2ED45493"/>
    <w:rsid w:val="2EDF7DA4"/>
    <w:rsid w:val="2EFF4241"/>
    <w:rsid w:val="2F1155B5"/>
    <w:rsid w:val="2F38047D"/>
    <w:rsid w:val="2F3B00C2"/>
    <w:rsid w:val="2F57377F"/>
    <w:rsid w:val="2F5802D9"/>
    <w:rsid w:val="2F792957"/>
    <w:rsid w:val="2FAF276C"/>
    <w:rsid w:val="2FF74CEC"/>
    <w:rsid w:val="300246FB"/>
    <w:rsid w:val="30094E40"/>
    <w:rsid w:val="30485573"/>
    <w:rsid w:val="307736F6"/>
    <w:rsid w:val="30B144E6"/>
    <w:rsid w:val="30C60E54"/>
    <w:rsid w:val="311C0363"/>
    <w:rsid w:val="31423C42"/>
    <w:rsid w:val="318A04DA"/>
    <w:rsid w:val="319C0A36"/>
    <w:rsid w:val="319F7F4E"/>
    <w:rsid w:val="31BB6E54"/>
    <w:rsid w:val="31E61818"/>
    <w:rsid w:val="325E7796"/>
    <w:rsid w:val="32BF68D3"/>
    <w:rsid w:val="32BF6D49"/>
    <w:rsid w:val="333A1742"/>
    <w:rsid w:val="33AC0FC3"/>
    <w:rsid w:val="33B0722A"/>
    <w:rsid w:val="33B6442C"/>
    <w:rsid w:val="33C90A47"/>
    <w:rsid w:val="33F1040D"/>
    <w:rsid w:val="33FB6B88"/>
    <w:rsid w:val="34445DBC"/>
    <w:rsid w:val="344F5D42"/>
    <w:rsid w:val="347C555E"/>
    <w:rsid w:val="34CB10FF"/>
    <w:rsid w:val="350E3F95"/>
    <w:rsid w:val="35102826"/>
    <w:rsid w:val="35482C9D"/>
    <w:rsid w:val="358A2BED"/>
    <w:rsid w:val="35F16B6E"/>
    <w:rsid w:val="36140611"/>
    <w:rsid w:val="365B45FF"/>
    <w:rsid w:val="366E2C0D"/>
    <w:rsid w:val="36A758F9"/>
    <w:rsid w:val="36C705A9"/>
    <w:rsid w:val="36F3402C"/>
    <w:rsid w:val="37144EA4"/>
    <w:rsid w:val="37210E60"/>
    <w:rsid w:val="37354B65"/>
    <w:rsid w:val="373E4AE3"/>
    <w:rsid w:val="37B1321C"/>
    <w:rsid w:val="37E41CE6"/>
    <w:rsid w:val="37E66D8A"/>
    <w:rsid w:val="38467215"/>
    <w:rsid w:val="387845F4"/>
    <w:rsid w:val="389637FC"/>
    <w:rsid w:val="389D0DAC"/>
    <w:rsid w:val="38E4304F"/>
    <w:rsid w:val="3930743C"/>
    <w:rsid w:val="394B5B81"/>
    <w:rsid w:val="39650FF3"/>
    <w:rsid w:val="39B25B11"/>
    <w:rsid w:val="39BE7696"/>
    <w:rsid w:val="39E17C72"/>
    <w:rsid w:val="39EC1488"/>
    <w:rsid w:val="39F357BF"/>
    <w:rsid w:val="39F906E9"/>
    <w:rsid w:val="3A0252D6"/>
    <w:rsid w:val="3A03179B"/>
    <w:rsid w:val="3A142A85"/>
    <w:rsid w:val="3A6366DE"/>
    <w:rsid w:val="3A762E0A"/>
    <w:rsid w:val="3A8B37E6"/>
    <w:rsid w:val="3AAE4799"/>
    <w:rsid w:val="3AB111F7"/>
    <w:rsid w:val="3B2F32B8"/>
    <w:rsid w:val="3B4524A9"/>
    <w:rsid w:val="3B9520D2"/>
    <w:rsid w:val="3BA60369"/>
    <w:rsid w:val="3C077E8A"/>
    <w:rsid w:val="3C6C280E"/>
    <w:rsid w:val="3C880D74"/>
    <w:rsid w:val="3CA41EDB"/>
    <w:rsid w:val="3D142D6A"/>
    <w:rsid w:val="3D14395D"/>
    <w:rsid w:val="3D5365D4"/>
    <w:rsid w:val="3DCB1223"/>
    <w:rsid w:val="3DD57E91"/>
    <w:rsid w:val="3DF059AA"/>
    <w:rsid w:val="3E702E19"/>
    <w:rsid w:val="3EDD126C"/>
    <w:rsid w:val="3EEF52D4"/>
    <w:rsid w:val="3EFF3B29"/>
    <w:rsid w:val="3F367261"/>
    <w:rsid w:val="3F5F6D00"/>
    <w:rsid w:val="3F60143E"/>
    <w:rsid w:val="3F8E2064"/>
    <w:rsid w:val="3FAE65B0"/>
    <w:rsid w:val="3FBC11AE"/>
    <w:rsid w:val="3FC518A6"/>
    <w:rsid w:val="403A432F"/>
    <w:rsid w:val="407A652F"/>
    <w:rsid w:val="408864BF"/>
    <w:rsid w:val="408B6C94"/>
    <w:rsid w:val="40D75005"/>
    <w:rsid w:val="40E35F5F"/>
    <w:rsid w:val="41487E4F"/>
    <w:rsid w:val="41701102"/>
    <w:rsid w:val="4195301C"/>
    <w:rsid w:val="419D4443"/>
    <w:rsid w:val="41AC0C39"/>
    <w:rsid w:val="41C56C7D"/>
    <w:rsid w:val="41DB205A"/>
    <w:rsid w:val="41EE2B0D"/>
    <w:rsid w:val="420024CC"/>
    <w:rsid w:val="42075D26"/>
    <w:rsid w:val="42683589"/>
    <w:rsid w:val="42E2116D"/>
    <w:rsid w:val="42E91D83"/>
    <w:rsid w:val="42FC4DA6"/>
    <w:rsid w:val="435B772B"/>
    <w:rsid w:val="436F3092"/>
    <w:rsid w:val="43AB1531"/>
    <w:rsid w:val="44033EAD"/>
    <w:rsid w:val="44E209D4"/>
    <w:rsid w:val="450B0ADD"/>
    <w:rsid w:val="457C3E03"/>
    <w:rsid w:val="45BB11B9"/>
    <w:rsid w:val="46051E37"/>
    <w:rsid w:val="461B56FE"/>
    <w:rsid w:val="46773BCE"/>
    <w:rsid w:val="46A377C1"/>
    <w:rsid w:val="46AA3E72"/>
    <w:rsid w:val="46B87349"/>
    <w:rsid w:val="46C7066A"/>
    <w:rsid w:val="46E57BB6"/>
    <w:rsid w:val="471F00D6"/>
    <w:rsid w:val="472D4AA2"/>
    <w:rsid w:val="47330362"/>
    <w:rsid w:val="47804FC4"/>
    <w:rsid w:val="47B33BBD"/>
    <w:rsid w:val="47BD5711"/>
    <w:rsid w:val="48141018"/>
    <w:rsid w:val="482448F2"/>
    <w:rsid w:val="48352141"/>
    <w:rsid w:val="48B038D8"/>
    <w:rsid w:val="48C47BE7"/>
    <w:rsid w:val="48C5682C"/>
    <w:rsid w:val="491C59E1"/>
    <w:rsid w:val="494B4F77"/>
    <w:rsid w:val="49B003A6"/>
    <w:rsid w:val="49C608C4"/>
    <w:rsid w:val="4A397A37"/>
    <w:rsid w:val="4A6F269F"/>
    <w:rsid w:val="4A945703"/>
    <w:rsid w:val="4A9A17F9"/>
    <w:rsid w:val="4ABD60B8"/>
    <w:rsid w:val="4ADA5B06"/>
    <w:rsid w:val="4AFB1A66"/>
    <w:rsid w:val="4B176D99"/>
    <w:rsid w:val="4B1E3426"/>
    <w:rsid w:val="4B7867C7"/>
    <w:rsid w:val="4B921C22"/>
    <w:rsid w:val="4BCF5C4B"/>
    <w:rsid w:val="4BDF1B4E"/>
    <w:rsid w:val="4BE06745"/>
    <w:rsid w:val="4CB749BA"/>
    <w:rsid w:val="4CD9638C"/>
    <w:rsid w:val="4CE45765"/>
    <w:rsid w:val="4D032E6C"/>
    <w:rsid w:val="4D447697"/>
    <w:rsid w:val="4D877670"/>
    <w:rsid w:val="4D885B03"/>
    <w:rsid w:val="4E1011F2"/>
    <w:rsid w:val="4E281EAD"/>
    <w:rsid w:val="4EAB015E"/>
    <w:rsid w:val="4ED03039"/>
    <w:rsid w:val="4F182C94"/>
    <w:rsid w:val="4FB07460"/>
    <w:rsid w:val="4FB60D62"/>
    <w:rsid w:val="4FBD6564"/>
    <w:rsid w:val="4FDA003B"/>
    <w:rsid w:val="500A3454"/>
    <w:rsid w:val="501901A3"/>
    <w:rsid w:val="503621CB"/>
    <w:rsid w:val="50847FDC"/>
    <w:rsid w:val="50A9595C"/>
    <w:rsid w:val="50AF2509"/>
    <w:rsid w:val="50B05D51"/>
    <w:rsid w:val="50CC5153"/>
    <w:rsid w:val="50D578E6"/>
    <w:rsid w:val="50D92DFE"/>
    <w:rsid w:val="51A53DBC"/>
    <w:rsid w:val="51C835BA"/>
    <w:rsid w:val="52235B88"/>
    <w:rsid w:val="522A3356"/>
    <w:rsid w:val="523B0934"/>
    <w:rsid w:val="52593568"/>
    <w:rsid w:val="526204E4"/>
    <w:rsid w:val="52882A6E"/>
    <w:rsid w:val="529F34F5"/>
    <w:rsid w:val="52D2713D"/>
    <w:rsid w:val="52EC464D"/>
    <w:rsid w:val="52EE53F4"/>
    <w:rsid w:val="533010FD"/>
    <w:rsid w:val="534A7782"/>
    <w:rsid w:val="535E2F6B"/>
    <w:rsid w:val="5385700F"/>
    <w:rsid w:val="542D5777"/>
    <w:rsid w:val="543725C7"/>
    <w:rsid w:val="54BE26A3"/>
    <w:rsid w:val="54D86941"/>
    <w:rsid w:val="54E24B91"/>
    <w:rsid w:val="55362D84"/>
    <w:rsid w:val="554537C3"/>
    <w:rsid w:val="558763C0"/>
    <w:rsid w:val="55E36D20"/>
    <w:rsid w:val="564256F3"/>
    <w:rsid w:val="564D231A"/>
    <w:rsid w:val="565C36C0"/>
    <w:rsid w:val="56A812A9"/>
    <w:rsid w:val="56C43ABD"/>
    <w:rsid w:val="56C73194"/>
    <w:rsid w:val="572512DD"/>
    <w:rsid w:val="575A07B6"/>
    <w:rsid w:val="57B82F60"/>
    <w:rsid w:val="57CC6CC3"/>
    <w:rsid w:val="57D9137B"/>
    <w:rsid w:val="57DE732C"/>
    <w:rsid w:val="57EE4122"/>
    <w:rsid w:val="57EE74CE"/>
    <w:rsid w:val="585E031C"/>
    <w:rsid w:val="588564EA"/>
    <w:rsid w:val="58BA3515"/>
    <w:rsid w:val="58F6222F"/>
    <w:rsid w:val="59223B60"/>
    <w:rsid w:val="592D3CE7"/>
    <w:rsid w:val="594056BD"/>
    <w:rsid w:val="59680153"/>
    <w:rsid w:val="597A33CE"/>
    <w:rsid w:val="59B775FC"/>
    <w:rsid w:val="59F22270"/>
    <w:rsid w:val="5A0228AA"/>
    <w:rsid w:val="5A036083"/>
    <w:rsid w:val="5A274CFA"/>
    <w:rsid w:val="5A364E1D"/>
    <w:rsid w:val="5AC346D2"/>
    <w:rsid w:val="5B0B45B9"/>
    <w:rsid w:val="5B0E18F6"/>
    <w:rsid w:val="5B127AD1"/>
    <w:rsid w:val="5B5C08B4"/>
    <w:rsid w:val="5B8E646A"/>
    <w:rsid w:val="5BA6549C"/>
    <w:rsid w:val="5BF06758"/>
    <w:rsid w:val="5C0207E0"/>
    <w:rsid w:val="5C6A5744"/>
    <w:rsid w:val="5CF115E6"/>
    <w:rsid w:val="5D214CD4"/>
    <w:rsid w:val="5D586090"/>
    <w:rsid w:val="5D945442"/>
    <w:rsid w:val="5DB278D8"/>
    <w:rsid w:val="5DE6742A"/>
    <w:rsid w:val="5E075043"/>
    <w:rsid w:val="5EC4181B"/>
    <w:rsid w:val="5F531EE8"/>
    <w:rsid w:val="5F5968D3"/>
    <w:rsid w:val="5F9A6C56"/>
    <w:rsid w:val="5FDC55C0"/>
    <w:rsid w:val="60197B18"/>
    <w:rsid w:val="60372899"/>
    <w:rsid w:val="60440B2C"/>
    <w:rsid w:val="605964CA"/>
    <w:rsid w:val="60732CD9"/>
    <w:rsid w:val="60FE67C1"/>
    <w:rsid w:val="613805BE"/>
    <w:rsid w:val="614D0A99"/>
    <w:rsid w:val="614E7984"/>
    <w:rsid w:val="61745BD8"/>
    <w:rsid w:val="61A70E14"/>
    <w:rsid w:val="61F54AFC"/>
    <w:rsid w:val="621122A6"/>
    <w:rsid w:val="62B62C68"/>
    <w:rsid w:val="63823138"/>
    <w:rsid w:val="63A6094C"/>
    <w:rsid w:val="63D013E6"/>
    <w:rsid w:val="640450E3"/>
    <w:rsid w:val="640B2C66"/>
    <w:rsid w:val="641206A9"/>
    <w:rsid w:val="6469198C"/>
    <w:rsid w:val="64D80723"/>
    <w:rsid w:val="651A7BE3"/>
    <w:rsid w:val="65754A91"/>
    <w:rsid w:val="658A426F"/>
    <w:rsid w:val="65B366B3"/>
    <w:rsid w:val="65CF03A8"/>
    <w:rsid w:val="664D4811"/>
    <w:rsid w:val="66510502"/>
    <w:rsid w:val="66922E06"/>
    <w:rsid w:val="66BC7345"/>
    <w:rsid w:val="66C17180"/>
    <w:rsid w:val="66E17AAF"/>
    <w:rsid w:val="66FC248B"/>
    <w:rsid w:val="67362F13"/>
    <w:rsid w:val="674F751F"/>
    <w:rsid w:val="67804152"/>
    <w:rsid w:val="679A74CE"/>
    <w:rsid w:val="67B9191B"/>
    <w:rsid w:val="67F20345"/>
    <w:rsid w:val="67FD5E9F"/>
    <w:rsid w:val="68185BB6"/>
    <w:rsid w:val="686E46B5"/>
    <w:rsid w:val="68701E00"/>
    <w:rsid w:val="687E6E9B"/>
    <w:rsid w:val="68945E29"/>
    <w:rsid w:val="68985532"/>
    <w:rsid w:val="68B620FE"/>
    <w:rsid w:val="691F7D94"/>
    <w:rsid w:val="692D07C0"/>
    <w:rsid w:val="695B5EA3"/>
    <w:rsid w:val="69681256"/>
    <w:rsid w:val="697C7C7C"/>
    <w:rsid w:val="69800C53"/>
    <w:rsid w:val="69D636CB"/>
    <w:rsid w:val="69F33AC0"/>
    <w:rsid w:val="6A1B595D"/>
    <w:rsid w:val="6A2A793F"/>
    <w:rsid w:val="6A470CED"/>
    <w:rsid w:val="6A673B36"/>
    <w:rsid w:val="6A7002F2"/>
    <w:rsid w:val="6AA82444"/>
    <w:rsid w:val="6AAC760C"/>
    <w:rsid w:val="6AC809CF"/>
    <w:rsid w:val="6AE022CF"/>
    <w:rsid w:val="6AE36770"/>
    <w:rsid w:val="6B3E3921"/>
    <w:rsid w:val="6B67307F"/>
    <w:rsid w:val="6B7833FE"/>
    <w:rsid w:val="6B941BFB"/>
    <w:rsid w:val="6BBF20BD"/>
    <w:rsid w:val="6BCE576B"/>
    <w:rsid w:val="6C0C73D8"/>
    <w:rsid w:val="6C3D6721"/>
    <w:rsid w:val="6C5C1109"/>
    <w:rsid w:val="6CB84B68"/>
    <w:rsid w:val="6CBC6F6D"/>
    <w:rsid w:val="6CE626D3"/>
    <w:rsid w:val="6D91006C"/>
    <w:rsid w:val="6DA71A18"/>
    <w:rsid w:val="6DC51287"/>
    <w:rsid w:val="6DD85AEC"/>
    <w:rsid w:val="6E684212"/>
    <w:rsid w:val="6E903412"/>
    <w:rsid w:val="6EEC78AB"/>
    <w:rsid w:val="6F382398"/>
    <w:rsid w:val="6F3B6F40"/>
    <w:rsid w:val="6F493251"/>
    <w:rsid w:val="6FD11D10"/>
    <w:rsid w:val="6FDA5B8B"/>
    <w:rsid w:val="703B047F"/>
    <w:rsid w:val="70477B6F"/>
    <w:rsid w:val="70557514"/>
    <w:rsid w:val="70F230E5"/>
    <w:rsid w:val="71002479"/>
    <w:rsid w:val="7101145E"/>
    <w:rsid w:val="71F73A86"/>
    <w:rsid w:val="721B6F72"/>
    <w:rsid w:val="72425D74"/>
    <w:rsid w:val="728E4130"/>
    <w:rsid w:val="72EC62B6"/>
    <w:rsid w:val="73032F5C"/>
    <w:rsid w:val="73127873"/>
    <w:rsid w:val="732C6962"/>
    <w:rsid w:val="7335742D"/>
    <w:rsid w:val="73A84DA6"/>
    <w:rsid w:val="73D516F6"/>
    <w:rsid w:val="73D84D0C"/>
    <w:rsid w:val="73EF16DB"/>
    <w:rsid w:val="73F45F2F"/>
    <w:rsid w:val="74074200"/>
    <w:rsid w:val="74407282"/>
    <w:rsid w:val="749D4AE4"/>
    <w:rsid w:val="754913AF"/>
    <w:rsid w:val="757365B1"/>
    <w:rsid w:val="75916358"/>
    <w:rsid w:val="75A33DD2"/>
    <w:rsid w:val="75F110C0"/>
    <w:rsid w:val="760E3623"/>
    <w:rsid w:val="76115247"/>
    <w:rsid w:val="76121264"/>
    <w:rsid w:val="762925F7"/>
    <w:rsid w:val="76933EC3"/>
    <w:rsid w:val="76A039DA"/>
    <w:rsid w:val="76A33A74"/>
    <w:rsid w:val="76A96107"/>
    <w:rsid w:val="76AC74D0"/>
    <w:rsid w:val="77100A78"/>
    <w:rsid w:val="7774291A"/>
    <w:rsid w:val="777E1C71"/>
    <w:rsid w:val="77CD294F"/>
    <w:rsid w:val="77D60B9E"/>
    <w:rsid w:val="780F3B25"/>
    <w:rsid w:val="78350A0E"/>
    <w:rsid w:val="78524150"/>
    <w:rsid w:val="7858102C"/>
    <w:rsid w:val="78AE6886"/>
    <w:rsid w:val="78C86FC0"/>
    <w:rsid w:val="78E80F75"/>
    <w:rsid w:val="78F21F93"/>
    <w:rsid w:val="78FC0310"/>
    <w:rsid w:val="79055E20"/>
    <w:rsid w:val="79324546"/>
    <w:rsid w:val="79591E27"/>
    <w:rsid w:val="79D064CD"/>
    <w:rsid w:val="79D364D6"/>
    <w:rsid w:val="7A077492"/>
    <w:rsid w:val="7A190C22"/>
    <w:rsid w:val="7A4661F0"/>
    <w:rsid w:val="7A544C9A"/>
    <w:rsid w:val="7A7A062E"/>
    <w:rsid w:val="7ADC4446"/>
    <w:rsid w:val="7AF916AD"/>
    <w:rsid w:val="7B0C0509"/>
    <w:rsid w:val="7B6E0931"/>
    <w:rsid w:val="7B6E2B76"/>
    <w:rsid w:val="7B8310C8"/>
    <w:rsid w:val="7BCE6B3D"/>
    <w:rsid w:val="7BDA1508"/>
    <w:rsid w:val="7C5A65BD"/>
    <w:rsid w:val="7CB737C5"/>
    <w:rsid w:val="7D0651C6"/>
    <w:rsid w:val="7D1832FE"/>
    <w:rsid w:val="7D1F1E30"/>
    <w:rsid w:val="7D560952"/>
    <w:rsid w:val="7DBC45C2"/>
    <w:rsid w:val="7DBD73F2"/>
    <w:rsid w:val="7DDE54D8"/>
    <w:rsid w:val="7DE1760A"/>
    <w:rsid w:val="7DE22188"/>
    <w:rsid w:val="7E015BFD"/>
    <w:rsid w:val="7E0B7E6F"/>
    <w:rsid w:val="7E1F065F"/>
    <w:rsid w:val="7E3F7E95"/>
    <w:rsid w:val="7E7A4AD5"/>
    <w:rsid w:val="7EDD50C4"/>
    <w:rsid w:val="7EEA1436"/>
    <w:rsid w:val="7F204D1D"/>
    <w:rsid w:val="7F2C6AE1"/>
    <w:rsid w:val="7FF725B9"/>
    <w:rsid w:val="7FFB67FE"/>
    <w:rsid w:val="BDFFDA18"/>
    <w:rsid w:val="BFDF0B7D"/>
    <w:rsid w:val="DDAF7C6D"/>
    <w:rsid w:val="E78F350A"/>
    <w:rsid w:val="EDF45866"/>
    <w:rsid w:val="FF7EBD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7">
    <w:name w:val="annotation text"/>
    <w:basedOn w:val="1"/>
    <w:semiHidden/>
    <w:unhideWhenUsed/>
    <w:qFormat/>
    <w:uiPriority w:val="99"/>
    <w:pPr>
      <w:jc w:val="left"/>
    </w:pPr>
  </w:style>
  <w:style w:type="paragraph" w:styleId="8">
    <w:name w:val="Salutation"/>
    <w:basedOn w:val="1"/>
    <w:next w:val="1"/>
    <w:qFormat/>
    <w:uiPriority w:val="0"/>
  </w:style>
  <w:style w:type="paragraph" w:styleId="9">
    <w:name w:val="Body Text"/>
    <w:basedOn w:val="1"/>
    <w:next w:val="1"/>
    <w:link w:val="32"/>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99"/>
    <w:rPr>
      <w:rFonts w:ascii="宋体" w:hAnsi="Courier New" w:cs="宋体"/>
    </w:rPr>
  </w:style>
  <w:style w:type="paragraph" w:styleId="12">
    <w:name w:val="Balloon Text"/>
    <w:basedOn w:val="1"/>
    <w:link w:val="35"/>
    <w:semiHidden/>
    <w:unhideWhenUsed/>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qFormat/>
    <w:uiPriority w:val="99"/>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w:basedOn w:val="1"/>
    <w:qFormat/>
    <w:uiPriority w:val="99"/>
    <w:pPr>
      <w:ind w:firstLine="200" w:firstLineChars="200"/>
    </w:pPr>
    <w:rPr>
      <w:szCs w:val="32"/>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1 Char"/>
    <w:basedOn w:val="20"/>
    <w:link w:val="4"/>
    <w:qFormat/>
    <w:uiPriority w:val="9"/>
    <w:rPr>
      <w:rFonts w:ascii="Times New Roman" w:hAnsi="Times New Roman"/>
      <w:b/>
      <w:bCs/>
      <w:kern w:val="44"/>
      <w:sz w:val="44"/>
      <w:szCs w:val="44"/>
    </w:rPr>
  </w:style>
  <w:style w:type="character" w:customStyle="1" w:styleId="24">
    <w:name w:val="标题 2 Char"/>
    <w:basedOn w:val="20"/>
    <w:link w:val="5"/>
    <w:qFormat/>
    <w:uiPriority w:val="9"/>
    <w:rPr>
      <w:rFonts w:asciiTheme="majorHAnsi" w:hAnsiTheme="majorHAnsi" w:eastAsiaTheme="majorEastAsia" w:cstheme="majorBidi"/>
      <w:b/>
      <w:bCs/>
      <w:kern w:val="2"/>
      <w:sz w:val="32"/>
      <w:szCs w:val="32"/>
    </w:rPr>
  </w:style>
  <w:style w:type="character" w:customStyle="1" w:styleId="25">
    <w:name w:val="标题 3 Char"/>
    <w:basedOn w:val="20"/>
    <w:link w:val="6"/>
    <w:qFormat/>
    <w:uiPriority w:val="9"/>
    <w:rPr>
      <w:rFonts w:ascii="Times New Roman" w:hAnsi="Times New Roman"/>
      <w:b/>
      <w:bCs/>
      <w:kern w:val="2"/>
      <w:sz w:val="32"/>
      <w:szCs w:val="32"/>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Header Char"/>
    <w:basedOn w:val="20"/>
    <w:semiHidden/>
    <w:qFormat/>
    <w:uiPriority w:val="99"/>
    <w:rPr>
      <w:rFonts w:ascii="Times New Roman" w:hAnsi="Times New Roman"/>
      <w:sz w:val="18"/>
      <w:szCs w:val="18"/>
    </w:rPr>
  </w:style>
  <w:style w:type="character" w:customStyle="1" w:styleId="28">
    <w:name w:val="页眉 Char"/>
    <w:link w:val="14"/>
    <w:semiHidden/>
    <w:qFormat/>
    <w:locked/>
    <w:uiPriority w:val="99"/>
    <w:rPr>
      <w:sz w:val="18"/>
    </w:rPr>
  </w:style>
  <w:style w:type="character" w:customStyle="1" w:styleId="29">
    <w:name w:val="Footer Char"/>
    <w:basedOn w:val="20"/>
    <w:semiHidden/>
    <w:qFormat/>
    <w:uiPriority w:val="99"/>
    <w:rPr>
      <w:rFonts w:ascii="Times New Roman" w:hAnsi="Times New Roman"/>
      <w:sz w:val="18"/>
      <w:szCs w:val="18"/>
    </w:rPr>
  </w:style>
  <w:style w:type="character" w:customStyle="1" w:styleId="30">
    <w:name w:val="页脚 Char"/>
    <w:link w:val="13"/>
    <w:qFormat/>
    <w:locked/>
    <w:uiPriority w:val="99"/>
    <w:rPr>
      <w:sz w:val="18"/>
    </w:rPr>
  </w:style>
  <w:style w:type="character" w:customStyle="1" w:styleId="31">
    <w:name w:val="Body Text Char"/>
    <w:basedOn w:val="20"/>
    <w:semiHidden/>
    <w:qFormat/>
    <w:uiPriority w:val="99"/>
    <w:rPr>
      <w:rFonts w:ascii="Times New Roman" w:hAnsi="Times New Roman"/>
      <w:szCs w:val="24"/>
    </w:rPr>
  </w:style>
  <w:style w:type="character" w:customStyle="1" w:styleId="32">
    <w:name w:val="正文文本 Char"/>
    <w:link w:val="9"/>
    <w:qFormat/>
    <w:locked/>
    <w:uiPriority w:val="99"/>
    <w:rPr>
      <w:rFonts w:ascii="仿宋_GB2312" w:hAnsi="Times New Roman" w:eastAsia="仿宋_GB2312"/>
      <w:sz w:val="24"/>
    </w:rPr>
  </w:style>
  <w:style w:type="paragraph" w:styleId="33">
    <w:name w:val="List Paragraph"/>
    <w:basedOn w:val="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2"/>
    <w:semiHidden/>
    <w:qFormat/>
    <w:uiPriority w:val="99"/>
    <w:rPr>
      <w:rFonts w:ascii="Times New Roman" w:hAnsi="Times New Roman"/>
      <w:kern w:val="2"/>
      <w:sz w:val="18"/>
      <w:szCs w:val="18"/>
    </w:rPr>
  </w:style>
  <w:style w:type="paragraph" w:customStyle="1" w:styleId="36">
    <w:name w:val="正文2"/>
    <w:basedOn w:val="1"/>
    <w:qFormat/>
    <w:uiPriority w:val="0"/>
    <w:pPr>
      <w:spacing w:line="360" w:lineRule="auto"/>
      <w:ind w:firstLine="480" w:firstLineChars="200"/>
      <w:jc w:val="left"/>
    </w:pPr>
    <w:rPr>
      <w:rFonts w:ascii="Times New Roman" w:eastAsia="宋体"/>
      <w:kern w:val="0"/>
      <w:sz w:val="28"/>
      <w:szCs w:val="20"/>
    </w:rPr>
  </w:style>
  <w:style w:type="character" w:customStyle="1" w:styleId="37">
    <w:name w:val="font01"/>
    <w:basedOn w:val="20"/>
    <w:qFormat/>
    <w:uiPriority w:val="0"/>
    <w:rPr>
      <w:rFonts w:ascii="Arial" w:hAnsi="Arial" w:cs="Arial"/>
      <w:color w:val="000000"/>
      <w:sz w:val="20"/>
      <w:szCs w:val="20"/>
      <w:u w:val="none"/>
    </w:rPr>
  </w:style>
  <w:style w:type="character" w:customStyle="1" w:styleId="38">
    <w:name w:val="font41"/>
    <w:basedOn w:val="20"/>
    <w:qFormat/>
    <w:uiPriority w:val="0"/>
    <w:rPr>
      <w:rFonts w:hint="eastAsia" w:ascii="宋体" w:hAnsi="宋体" w:eastAsia="宋体" w:cs="宋体"/>
      <w:color w:val="000000"/>
      <w:sz w:val="20"/>
      <w:szCs w:val="20"/>
      <w:u w:val="none"/>
    </w:rPr>
  </w:style>
  <w:style w:type="character" w:customStyle="1" w:styleId="39">
    <w:name w:val="font11"/>
    <w:basedOn w:val="20"/>
    <w:qFormat/>
    <w:uiPriority w:val="0"/>
    <w:rPr>
      <w:rFonts w:hint="eastAsia" w:ascii="宋体" w:hAnsi="宋体" w:eastAsia="宋体" w:cs="宋体"/>
      <w:color w:val="000000"/>
      <w:sz w:val="22"/>
      <w:szCs w:val="22"/>
      <w:u w:val="none"/>
    </w:rPr>
  </w:style>
  <w:style w:type="paragraph" w:customStyle="1" w:styleId="40">
    <w:name w:val="Body text|1"/>
    <w:basedOn w:val="1"/>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 w:type="paragraph" w:customStyle="1" w:styleId="41">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2">
    <w:name w:val="闻政正文"/>
    <w:basedOn w:val="1"/>
    <w:qFormat/>
    <w:uiPriority w:val="0"/>
    <w:pPr>
      <w:widowControl w:val="0"/>
      <w:spacing w:line="500" w:lineRule="exact"/>
      <w:ind w:firstLine="200" w:firstLineChars="200"/>
      <w:jc w:val="both"/>
    </w:pPr>
    <w:rPr>
      <w:rFonts w:ascii="Times New Roman" w:hAnsi="Times New Roman" w:eastAsia="仿宋_GB2312" w:cs="Times New Roman"/>
      <w:sz w:val="28"/>
      <w:szCs w:val="28"/>
      <w:lang w:val="zh-CN" w:eastAsia="zh-CN"/>
    </w:rPr>
  </w:style>
  <w:style w:type="character" w:customStyle="1" w:styleId="43">
    <w:name w:val="font61"/>
    <w:basedOn w:val="20"/>
    <w:qFormat/>
    <w:uiPriority w:val="0"/>
    <w:rPr>
      <w:rFonts w:ascii="Arial" w:hAnsi="Arial" w:cs="Arial"/>
      <w:color w:val="000000"/>
      <w:sz w:val="20"/>
      <w:szCs w:val="20"/>
      <w:u w:val="none"/>
    </w:rPr>
  </w:style>
  <w:style w:type="character" w:customStyle="1" w:styleId="44">
    <w:name w:val="font31"/>
    <w:basedOn w:val="20"/>
    <w:qFormat/>
    <w:uiPriority w:val="0"/>
    <w:rPr>
      <w:rFonts w:hint="eastAsia" w:ascii="宋体" w:hAnsi="宋体" w:eastAsia="宋体" w:cs="宋体"/>
      <w:color w:val="000000"/>
      <w:sz w:val="20"/>
      <w:szCs w:val="20"/>
      <w:u w:val="none"/>
    </w:rPr>
  </w:style>
  <w:style w:type="paragraph" w:customStyle="1" w:styleId="45">
    <w:name w:val="正文首行缩进 21"/>
    <w:basedOn w:val="1"/>
    <w:next w:val="1"/>
    <w:qFormat/>
    <w:uiPriority w:val="0"/>
    <w:pPr>
      <w:spacing w:line="600" w:lineRule="atLeast"/>
      <w:ind w:firstLine="420" w:firstLineChars="200"/>
    </w:pPr>
    <w:rPr>
      <w:rFonts w:eastAsia="宋体"/>
      <w:b/>
      <w:bCs/>
      <w:sz w:val="30"/>
      <w:szCs w:val="30"/>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91254480286738"/>
          <c:y val="0.0102739726027397"/>
        </c:manualLayout>
      </c:layout>
      <c:overlay val="false"/>
      <c:spPr>
        <a:noFill/>
        <a:ln>
          <a:noFill/>
        </a:ln>
        <a:effectLst/>
      </c:spPr>
    </c:title>
    <c:autoTitleDeleted val="false"/>
    <c:plotArea>
      <c:layout>
        <c:manualLayout>
          <c:layoutTarget val="inner"/>
          <c:xMode val="edge"/>
          <c:yMode val="edge"/>
          <c:x val="0.0979139160285186"/>
          <c:y val="0.119223040857334"/>
          <c:w val="0.883601795616583"/>
          <c:h val="0.722125474436258"/>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58048671578477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401433691756272"/>
                  <c:y val="-0.060383769615894"/>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2021年收支决算总计</c:v>
                </c:pt>
                <c:pt idx="1">
                  <c:v>2022年收支决算总计</c:v>
                </c:pt>
              </c:strCache>
            </c:strRef>
          </c:cat>
          <c:val>
            <c:numRef>
              <c:f>Sheet1!$B$2:$B$3</c:f>
              <c:numCache>
                <c:formatCode>General</c:formatCode>
                <c:ptCount val="2"/>
                <c:pt idx="0">
                  <c:v>80559.96</c:v>
                </c:pt>
                <c:pt idx="1">
                  <c:v>104166.64</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年本年收入（万元）</a:t>
            </a:r>
          </a:p>
        </c:rich>
      </c:tx>
      <c:layout>
        <c:manualLayout>
          <c:xMode val="edge"/>
          <c:yMode val="edge"/>
          <c:x val="0.256994114441257"/>
          <c:y val="0.0114329268292683"/>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2022年本年收入（万元）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517764936706218"/>
                  <c:y val="0.14634722495197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40564581243889"/>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16680.2</c:v>
                </c:pt>
                <c:pt idx="1" c:formatCode="#,##0.00">
                  <c:v>87486.44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491967871485944"/>
          <c:y val="0.696402456858731"/>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2022年本年支出（万元）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3224.07</c:v>
                </c:pt>
                <c:pt idx="1">
                  <c:v>100942.57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false"/>
      <c:spPr>
        <a:noFill/>
        <a:ln>
          <a:noFill/>
        </a:ln>
        <a:effectLst/>
      </c:spPr>
    </c:title>
    <c:autoTitleDeleted val="false"/>
    <c:plotArea>
      <c:layout>
        <c:manualLayout>
          <c:layoutTarget val="inner"/>
          <c:xMode val="edge"/>
          <c:yMode val="edge"/>
          <c:x val="0.0462"/>
          <c:y val="0.124833333333333"/>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2021年收支决算总计</c:v>
                </c:pt>
                <c:pt idx="1">
                  <c:v>2022年收支决算总计</c:v>
                </c:pt>
              </c:strCache>
            </c:strRef>
          </c:cat>
          <c:val>
            <c:numRef>
              <c:f>Sheet1!$B$2:$B$3</c:f>
              <c:numCache>
                <c:formatCode>General</c:formatCode>
                <c:ptCount val="2"/>
                <c:pt idx="0">
                  <c:v>80559.96</c:v>
                </c:pt>
                <c:pt idx="1">
                  <c:v>104166.64</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462"/>
          <c:y val="0.124833333333333"/>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0"/>
              <c:layout>
                <c:manualLayout>
                  <c:x val="0.00824423547597578"/>
                  <c:y val="0.00333684580259918"/>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2021年一般公共预算财政拨款支出</c:v>
                </c:pt>
                <c:pt idx="1">
                  <c:v>2022年一般公共预算财政拨款支出</c:v>
                </c:pt>
              </c:strCache>
            </c:strRef>
          </c:cat>
          <c:val>
            <c:numRef>
              <c:f>Sheet1!$B$2:$B$3</c:f>
              <c:numCache>
                <c:formatCode>#,##0.00</c:formatCode>
                <c:ptCount val="2"/>
                <c:pt idx="0">
                  <c:v>35707.76</c:v>
                </c:pt>
                <c:pt idx="1">
                  <c:v>16680.2</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a:t>
            </a:r>
            <a:r>
              <a:t>）</a:t>
            </a:r>
          </a:p>
        </c:rich>
      </c:tx>
      <c:layout>
        <c:manualLayout>
          <c:xMode val="edge"/>
          <c:yMode val="edge"/>
          <c:x val="0.280656521192303"/>
          <c:y val="0.027451760493336"/>
        </c:manualLayout>
      </c:layout>
      <c:overlay val="false"/>
      <c:spPr>
        <a:noFill/>
        <a:ln>
          <a:noFill/>
        </a:ln>
        <a:effectLst/>
      </c:sp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Pt>
            <c:idx val="10"/>
            <c:bubble3D val="false"/>
            <c:spPr>
              <a:solidFill>
                <a:schemeClr val="accent5">
                  <a:lumMod val="60000"/>
                </a:schemeClr>
              </a:solidFill>
              <a:ln w="19050">
                <a:solidFill>
                  <a:schemeClr val="lt1"/>
                </a:solidFill>
              </a:ln>
              <a:effectLst/>
            </c:spPr>
          </c:dPt>
          <c:dPt>
            <c:idx val="11"/>
            <c:bubble3D val="false"/>
            <c:spPr>
              <a:solidFill>
                <a:schemeClr val="accent6">
                  <a:lumMod val="60000"/>
                </a:schemeClr>
              </a:solidFill>
              <a:ln w="19050">
                <a:solidFill>
                  <a:schemeClr val="lt1"/>
                </a:solidFill>
              </a:ln>
              <a:effectLst/>
            </c:spPr>
          </c:dPt>
          <c:dPt>
            <c:idx val="12"/>
            <c:bubble3D val="false"/>
            <c:spPr>
              <a:solidFill>
                <a:schemeClr val="accent1">
                  <a:lumMod val="80000"/>
                  <a:lumOff val="20000"/>
                </a:schemeClr>
              </a:solidFill>
              <a:ln w="19050">
                <a:solidFill>
                  <a:schemeClr val="lt1"/>
                </a:solidFill>
              </a:ln>
              <a:effectLst/>
            </c:spPr>
          </c:dPt>
          <c:dPt>
            <c:idx val="13"/>
            <c:bubble3D val="false"/>
            <c:spPr>
              <a:solidFill>
                <a:schemeClr val="accent2">
                  <a:lumMod val="80000"/>
                  <a:lumOff val="20000"/>
                </a:schemeClr>
              </a:solidFill>
              <a:ln w="19050">
                <a:solidFill>
                  <a:schemeClr val="lt1"/>
                </a:solidFill>
              </a:ln>
              <a:effectLst/>
            </c:spPr>
          </c:dPt>
          <c:dPt>
            <c:idx val="14"/>
            <c:bubble3D val="false"/>
            <c:spPr>
              <a:solidFill>
                <a:schemeClr val="accent3">
                  <a:lumMod val="80000"/>
                  <a:lumOff val="20000"/>
                </a:schemeClr>
              </a:solidFill>
              <a:ln w="19050">
                <a:solidFill>
                  <a:schemeClr val="lt1"/>
                </a:solidFill>
              </a:ln>
              <a:effectLst/>
            </c:spPr>
          </c:dPt>
          <c:dPt>
            <c:idx val="15"/>
            <c:bubble3D val="false"/>
            <c:spPr>
              <a:solidFill>
                <a:schemeClr val="accent4">
                  <a:lumMod val="80000"/>
                  <a:lumOff val="20000"/>
                </a:schemeClr>
              </a:solidFill>
              <a:ln w="19050">
                <a:solidFill>
                  <a:schemeClr val="lt1"/>
                </a:solidFill>
              </a:ln>
              <a:effectLst/>
            </c:spPr>
          </c:dPt>
          <c:dPt>
            <c:idx val="16"/>
            <c:bubble3D val="false"/>
            <c:spPr>
              <a:solidFill>
                <a:schemeClr val="accent5">
                  <a:lumMod val="80000"/>
                  <a:lumOff val="20000"/>
                </a:schemeClr>
              </a:solidFill>
              <a:ln w="19050">
                <a:solidFill>
                  <a:schemeClr val="lt1"/>
                </a:solidFill>
              </a:ln>
              <a:effectLst/>
            </c:spPr>
          </c:dPt>
          <c:dLbls>
            <c:dLbl>
              <c:idx val="2"/>
              <c:layout>
                <c:manualLayout>
                  <c:x val="0.00250934841080545"/>
                  <c:y val="0.04054616639678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0804228323480318"/>
                  <c:y val="0.095823605524574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026333668818136"/>
                  <c:y val="0.1471115763468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163660159674233"/>
                  <c:y val="0.05958165035592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2"/>
              <c:layout>
                <c:manualLayout>
                  <c:x val="0.00812115704997136"/>
                  <c:y val="-0.057519467076687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5"/>
              <c:layout>
                <c:manualLayout>
                  <c:x val="0.0944078062387661"/>
                  <c:y val="6.97237338254179e-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6"/>
              <c:layout>
                <c:manualLayout>
                  <c:x val="0.115931014300234"/>
                  <c:y val="0.055573592472606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Sheet1!$A$2:$A$18</c:f>
              <c:strCache>
                <c:ptCount val="17"/>
                <c:pt idx="0">
                  <c:v>一般公共服务支出</c:v>
                </c:pt>
                <c:pt idx="1">
                  <c:v>国防支出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交通运输支出</c:v>
                </c:pt>
                <c:pt idx="11">
                  <c:v>资源勘探信息等支出</c:v>
                </c:pt>
                <c:pt idx="12">
                  <c:v>商业服务等支出</c:v>
                </c:pt>
                <c:pt idx="13">
                  <c:v>住房保障支出</c:v>
                </c:pt>
                <c:pt idx="14">
                  <c:v>粮油物质储备支出</c:v>
                </c:pt>
                <c:pt idx="15">
                  <c:v>灾害防治及应急管理支出</c:v>
                </c:pt>
                <c:pt idx="16">
                  <c:v>其他支出</c:v>
                </c:pt>
              </c:strCache>
            </c:strRef>
          </c:cat>
          <c:val>
            <c:numRef>
              <c:f>Sheet1!$B$2:$B$18</c:f>
              <c:numCache>
                <c:formatCode>0.00%</c:formatCode>
                <c:ptCount val="17"/>
                <c:pt idx="0">
                  <c:v>0.2437</c:v>
                </c:pt>
                <c:pt idx="1">
                  <c:v>0.0004</c:v>
                </c:pt>
                <c:pt idx="2">
                  <c:v>0.0001</c:v>
                </c:pt>
                <c:pt idx="3">
                  <c:v>0.0034</c:v>
                </c:pt>
                <c:pt idx="4">
                  <c:v>0.0017</c:v>
                </c:pt>
                <c:pt idx="5">
                  <c:v>0.2026</c:v>
                </c:pt>
                <c:pt idx="6">
                  <c:v>0.0474</c:v>
                </c:pt>
                <c:pt idx="7">
                  <c:v>0.0279</c:v>
                </c:pt>
                <c:pt idx="8">
                  <c:v>0.1046</c:v>
                </c:pt>
                <c:pt idx="9">
                  <c:v>0.0568</c:v>
                </c:pt>
                <c:pt idx="10">
                  <c:v>0.0605</c:v>
                </c:pt>
                <c:pt idx="11">
                  <c:v>0.0047</c:v>
                </c:pt>
                <c:pt idx="12">
                  <c:v>0.0046</c:v>
                </c:pt>
                <c:pt idx="13">
                  <c:v>0.2289</c:v>
                </c:pt>
                <c:pt idx="14">
                  <c:v>0.0002</c:v>
                </c:pt>
                <c:pt idx="15">
                  <c:v>0.0052</c:v>
                </c:pt>
                <c:pt idx="16">
                  <c:v>0.0072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648346119984908"/>
          <c:y val="0.6361647105629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2022年“三公”经费财政拨款支出（万元）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11.4</c:v>
                </c:pt>
                <c:pt idx="2">
                  <c:v>142.45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256</Pages>
  <Words>56248</Words>
  <Characters>85744</Characters>
  <Lines>68</Lines>
  <Paragraphs>19</Paragraphs>
  <TotalTime>29</TotalTime>
  <ScaleCrop>false</ScaleCrop>
  <LinksUpToDate>false</LinksUpToDate>
  <CharactersWithSpaces>89600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2023-09-23T01:00:00Z</cp:lastPrinted>
  <dcterms:modified xsi:type="dcterms:W3CDTF">2023-10-12T15:12:31Z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5C836FE00CFB426CBBC9D1FD95F44C7F</vt:lpwstr>
  </property>
</Properties>
</file>