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96597"/>
      <w:bookmarkStart w:id="3" w:name="_Toc15377425"/>
      <w:bookmarkStart w:id="4" w:name="_Toc15378441"/>
      <w:bookmarkStart w:id="5" w:name="_Toc15377193"/>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8442"/>
      <w:bookmarkStart w:id="7" w:name="_Toc15396598"/>
      <w:bookmarkStart w:id="8" w:name="_Toc15377194"/>
      <w:bookmarkStart w:id="9" w:name="_Toc15377426"/>
      <w:bookmarkStart w:id="10" w:name="_Toc15396476"/>
      <w:r>
        <w:rPr>
          <w:rFonts w:hint="eastAsia" w:ascii="方正小标宋简体" w:hAnsi="宋体" w:eastAsia="方正小标宋简体"/>
          <w:color w:val="000000"/>
          <w:sz w:val="72"/>
          <w:szCs w:val="72"/>
        </w:rPr>
        <w:t>广元市</w:t>
      </w:r>
      <w:bookmarkStart w:id="11" w:name="_Toc15306268"/>
      <w:r>
        <w:rPr>
          <w:rFonts w:hint="eastAsia" w:ascii="方正小标宋简体" w:hAnsi="宋体" w:eastAsia="方正小标宋简体"/>
          <w:color w:val="000000"/>
          <w:sz w:val="72"/>
          <w:szCs w:val="72"/>
          <w:lang w:eastAsia="zh-CN"/>
        </w:rPr>
        <w:t>经济技术开发区袁家坝街道办事处</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widowControl/>
        <w:jc w:val="center"/>
        <w:rPr>
          <w:rFonts w:ascii="仿宋" w:hAnsi="仿宋" w:eastAsia="仿宋" w:cs="Times New Roman"/>
          <w:kern w:val="2"/>
          <w:sz w:val="28"/>
          <w:szCs w:val="28"/>
          <w:lang w:val="en-US" w:eastAsia="zh-CN" w:bidi="ar-SA"/>
        </w:rPr>
      </w:pPr>
      <w:bookmarkStart w:id="12" w:name="_Toc15377196"/>
      <w:bookmarkStart w:id="13" w:name="_Toc15396599"/>
      <w:r>
        <w:rPr>
          <w:rFonts w:ascii="黑体" w:hAnsi="黑体" w:eastAsia="黑体" w:cs="Times New Roman"/>
          <w:color w:val="000000"/>
          <w:sz w:val="48"/>
          <w:szCs w:val="48"/>
        </w:rPr>
        <w:fldChar w:fldCharType="begin"/>
      </w:r>
      <w:r>
        <w:rPr>
          <w:rFonts w:ascii="黑体" w:hAnsi="黑体" w:eastAsia="黑体" w:cs="Times New Roman"/>
          <w:color w:val="000000"/>
          <w:sz w:val="48"/>
          <w:szCs w:val="48"/>
        </w:rPr>
        <w:instrText xml:space="preserve"> TOC \o "1-2" \h \z \u </w:instrText>
      </w:r>
      <w:r>
        <w:rPr>
          <w:rFonts w:ascii="黑体" w:hAnsi="黑体" w:eastAsia="黑体" w:cs="Times New Roman"/>
          <w:color w:val="000000"/>
          <w:sz w:val="48"/>
          <w:szCs w:val="48"/>
        </w:rPr>
        <w:fldChar w:fldCharType="separate"/>
      </w:r>
      <w:r>
        <w:rPr>
          <w:rFonts w:hint="eastAsia" w:ascii="仿宋" w:hAnsi="仿宋" w:eastAsia="仿宋" w:cs="Times New Roman"/>
          <w:kern w:val="2"/>
          <w:sz w:val="28"/>
          <w:szCs w:val="28"/>
          <w:lang w:val="en-US" w:eastAsia="zh-CN" w:bidi="ar-SA"/>
        </w:rPr>
        <w:t>公开时间：2021年9月14日</w:t>
      </w:r>
    </w:p>
    <w:p/>
    <w:p>
      <w:pPr>
        <w:pStyle w:val="11"/>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lang w:val="en-US" w:eastAsia="zh-CN"/>
        </w:rPr>
        <w:t>4</w:t>
      </w:r>
      <w:r>
        <w:rPr>
          <w:rFonts w:hint="eastAsia"/>
        </w:rPr>
        <w:fldChar w:fldCharType="end"/>
      </w:r>
    </w:p>
    <w:p>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p>
    <w:p>
      <w:pPr>
        <w:pStyle w:val="12"/>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p>
    <w:p>
      <w:pPr>
        <w:pStyle w:val="11"/>
        <w:rPr>
          <w:rFonts w:hint="eastAsia" w:eastAsia="仿宋"/>
          <w:lang w:val="en-US" w:eastAsia="zh-CN"/>
        </w:rPr>
      </w:pPr>
      <w:r>
        <w:fldChar w:fldCharType="begin"/>
      </w:r>
      <w:r>
        <w:instrText xml:space="preserve"> HYPERLINK \l "_Toc15396602" </w:instrText>
      </w:r>
      <w:r>
        <w:fldChar w:fldCharType="separate"/>
      </w:r>
      <w:r>
        <w:rPr>
          <w:rStyle w:val="16"/>
          <w:rFonts w:hint="eastAsia"/>
        </w:rPr>
        <w:t>第二部分</w:t>
      </w:r>
      <w:r>
        <w:rPr>
          <w:rStyle w:val="16"/>
        </w:rPr>
        <w:t xml:space="preserve"> 20</w:t>
      </w:r>
      <w:r>
        <w:rPr>
          <w:rStyle w:val="16"/>
          <w:rFonts w:hint="eastAsia"/>
          <w:lang w:val="en-US" w:eastAsia="zh-CN"/>
        </w:rPr>
        <w:t>20</w:t>
      </w:r>
      <w:r>
        <w:rPr>
          <w:rStyle w:val="16"/>
          <w:rFonts w:hint="eastAsia"/>
        </w:rPr>
        <w:t>年度部门决算情况说明</w:t>
      </w:r>
      <w:r>
        <w:tab/>
      </w:r>
      <w:r>
        <w:rPr>
          <w:rFonts w:hint="eastAsia"/>
          <w:lang w:val="en-US" w:eastAsia="zh-CN"/>
        </w:rPr>
        <w:t>1</w:t>
      </w:r>
      <w:r>
        <w:fldChar w:fldCharType="end"/>
      </w:r>
      <w:r>
        <w:rPr>
          <w:rFonts w:hint="eastAsia"/>
          <w:lang w:val="en-US" w:eastAsia="zh-CN"/>
        </w:rPr>
        <w:t>0</w:t>
      </w:r>
    </w:p>
    <w:p>
      <w:pPr>
        <w:pStyle w:val="12"/>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2"/>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2"/>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2"/>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2"/>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pPr>
        <w:pStyle w:val="12"/>
        <w:rPr>
          <w:rFonts w:hint="eastAsia" w:ascii="仿宋" w:hAnsi="仿宋" w:eastAsia="仿宋"/>
          <w:sz w:val="28"/>
          <w:szCs w:val="28"/>
          <w:lang w:val="en-US" w:eastAsia="zh-CN"/>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pPr>
        <w:pStyle w:val="12"/>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2"/>
        <w:rPr>
          <w:rFonts w:hint="default"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eastAsia="仿宋" w:cstheme="minorBidi"/>
          <w:lang w:val="en-US" w:eastAsia="zh-CN"/>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rPr>
          <w:rFonts w:hint="eastAsia"/>
          <w:lang w:val="en-US" w:eastAsia="zh-CN"/>
        </w:rPr>
        <w:t>1</w:t>
      </w:r>
      <w:r>
        <w:fldChar w:fldCharType="end"/>
      </w:r>
      <w:r>
        <w:rPr>
          <w:rFonts w:hint="eastAsia"/>
          <w:lang w:val="en-US" w:eastAsia="zh-CN"/>
        </w:rPr>
        <w:t>7</w:t>
      </w:r>
    </w:p>
    <w:p>
      <w:pPr>
        <w:pStyle w:val="11"/>
        <w:rPr>
          <w:rFonts w:hint="eastAsia" w:eastAsia="仿宋" w:cstheme="minorBidi"/>
          <w:lang w:val="en-US" w:eastAsia="zh-CN"/>
        </w:rPr>
      </w:pPr>
      <w:r>
        <w:fldChar w:fldCharType="begin"/>
      </w:r>
      <w:r>
        <w:instrText xml:space="preserve"> HYPERLINK \l "_Toc15396618" </w:instrText>
      </w:r>
      <w:r>
        <w:fldChar w:fldCharType="separate"/>
      </w:r>
      <w:r>
        <w:rPr>
          <w:rStyle w:val="16"/>
          <w:rFonts w:hint="eastAsia"/>
        </w:rPr>
        <w:t>第</w:t>
      </w:r>
      <w:r>
        <w:rPr>
          <w:rStyle w:val="16"/>
          <w:rFonts w:hint="eastAsia"/>
          <w:bCs/>
          <w:kern w:val="44"/>
          <w:lang w:eastAsia="zh-CN"/>
        </w:rPr>
        <w:t>四</w:t>
      </w:r>
      <w:r>
        <w:rPr>
          <w:rStyle w:val="16"/>
          <w:rFonts w:hint="eastAsia"/>
          <w:bCs/>
          <w:kern w:val="44"/>
        </w:rPr>
        <w:t>部分附表</w:t>
      </w:r>
      <w:r>
        <w:tab/>
      </w:r>
      <w:r>
        <w:rPr>
          <w:rFonts w:hint="eastAsia"/>
          <w:lang w:val="en-US" w:eastAsia="zh-CN"/>
        </w:rPr>
        <w:t>2</w:t>
      </w:r>
      <w:r>
        <w:fldChar w:fldCharType="end"/>
      </w:r>
      <w:r>
        <w:rPr>
          <w:rFonts w:hint="eastAsia"/>
          <w:lang w:val="en-US" w:eastAsia="zh-CN"/>
        </w:rPr>
        <w:t>3</w:t>
      </w:r>
    </w:p>
    <w:p>
      <w:pPr>
        <w:pStyle w:val="12"/>
        <w:rPr>
          <w:rFonts w:hint="default"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23</w:t>
      </w:r>
    </w:p>
    <w:p>
      <w:pPr>
        <w:pStyle w:val="12"/>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2"/>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widowControl/>
        <w:jc w:val="left"/>
        <w:rPr>
          <w:rFonts w:ascii="仿宋" w:hAnsi="仿宋" w:eastAsia="仿宋" w:cs="Times New Roman"/>
          <w:color w:val="000000"/>
          <w:sz w:val="24"/>
        </w:rPr>
      </w:pPr>
      <w:r>
        <w:rPr>
          <w:rFonts w:ascii="仿宋" w:hAnsi="仿宋" w:eastAsia="仿宋" w:cs="Times New Roman"/>
          <w:color w:val="000000"/>
          <w:sz w:val="24"/>
        </w:rPr>
        <w:fldChar w:fldCharType="end"/>
      </w:r>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spacing w:after="0" w:afterAutospacing="0"/>
        <w:jc w:val="both"/>
        <w:rPr>
          <w:rFonts w:hint="eastAsia" w:ascii="黑体" w:hAnsi="黑体" w:eastAsia="黑体"/>
          <w:b w:val="0"/>
        </w:rPr>
      </w:pPr>
    </w:p>
    <w:bookmarkEnd w:id="12"/>
    <w:bookmarkEnd w:id="13"/>
    <w:p>
      <w:pPr>
        <w:widowControl/>
        <w:jc w:val="left"/>
        <w:rPr>
          <w:rFonts w:ascii="黑体" w:eastAsia="黑体"/>
          <w:color w:val="000000"/>
          <w:sz w:val="32"/>
          <w:szCs w:val="32"/>
        </w:rPr>
      </w:pPr>
    </w:p>
    <w:p>
      <w:pPr>
        <w:pStyle w:val="3"/>
        <w:spacing w:before="0" w:beforeAutospacing="0"/>
        <w:jc w:val="center"/>
        <w:rPr>
          <w:rStyle w:val="25"/>
          <w:rFonts w:ascii="黑体" w:hAnsi="黑体" w:eastAsia="黑体"/>
          <w:b/>
          <w:bCs w:val="0"/>
        </w:rPr>
      </w:pPr>
      <w:bookmarkStart w:id="14" w:name="_Toc15377197"/>
      <w:bookmarkStart w:id="15" w:name="_Toc15396600"/>
      <w:r>
        <w:rPr>
          <w:rFonts w:hint="eastAsia" w:ascii="黑体" w:hAnsi="黑体" w:eastAsia="黑体"/>
          <w:b w:val="0"/>
        </w:rPr>
        <w:t xml:space="preserve">第一部分 </w:t>
      </w:r>
      <w:r>
        <w:rPr>
          <w:rStyle w:val="25"/>
          <w:rFonts w:hint="eastAsia" w:ascii="黑体" w:hAnsi="黑体" w:eastAsia="黑体"/>
          <w:b w:val="0"/>
          <w:bCs w:val="0"/>
        </w:rPr>
        <w:t>部门概况</w:t>
      </w:r>
    </w:p>
    <w:p>
      <w:pPr>
        <w:pStyle w:val="4"/>
        <w:rPr>
          <w:rStyle w:val="26"/>
          <w:rFonts w:ascii="仿宋" w:hAnsi="仿宋" w:eastAsia="仿宋"/>
          <w:b w:val="0"/>
          <w:bCs w:val="0"/>
        </w:rPr>
      </w:pPr>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pPr>
        <w:pStyle w:val="6"/>
        <w:adjustRightInd w:val="0"/>
        <w:snapToGrid w:val="0"/>
        <w:spacing w:before="0" w:beforeLines="0" w:line="560" w:lineRule="exact"/>
        <w:ind w:firstLine="640" w:firstLineChars="200"/>
        <w:rPr>
          <w:rFonts w:hint="eastAsia"/>
          <w:color w:val="000000"/>
          <w:sz w:val="32"/>
          <w:szCs w:val="32"/>
          <w:lang w:eastAsia="zh-CN"/>
        </w:rPr>
      </w:pPr>
      <w:r>
        <w:rPr>
          <w:rFonts w:hint="eastAsia" w:ascii="仿宋" w:hAnsi="仿宋" w:eastAsia="仿宋"/>
          <w:bCs/>
          <w:color w:val="000000"/>
          <w:sz w:val="32"/>
          <w:szCs w:val="32"/>
          <w:lang w:val="en-US" w:eastAsia="zh-CN"/>
        </w:rPr>
        <w:t xml:space="preserve"> </w:t>
      </w:r>
      <w:r>
        <w:rPr>
          <w:rFonts w:hint="eastAsia" w:hAnsi="楷体_GB2312" w:cs="楷体_GB2312"/>
          <w:color w:val="000000"/>
          <w:sz w:val="32"/>
          <w:szCs w:val="32"/>
          <w:lang w:eastAsia="zh-CN"/>
        </w:rPr>
        <w:t>主要职能为：负责辖区内企业服务、安全生产、信访维稳、房屋征收与补偿、计划生育、民政、劳动就业、社会保障、环境卫生等工作。</w:t>
      </w:r>
    </w:p>
    <w:p>
      <w:pPr>
        <w:pStyle w:val="6"/>
        <w:adjustRightInd w:val="0"/>
        <w:snapToGrid w:val="0"/>
        <w:spacing w:before="93" w:line="600" w:lineRule="exact"/>
        <w:ind w:firstLine="640" w:firstLineChars="20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8"/>
      <w:bookmarkEnd w:id="19"/>
    </w:p>
    <w:p>
      <w:pPr>
        <w:pStyle w:val="6"/>
        <w:adjustRightInd w:val="0"/>
        <w:snapToGrid w:val="0"/>
        <w:spacing w:before="0" w:beforeLines="0" w:line="560" w:lineRule="exact"/>
        <w:ind w:firstLine="640" w:firstLineChars="200"/>
        <w:rPr>
          <w:rFonts w:hint="eastAsia" w:hAnsi="楷体_GB2312" w:cs="楷体_GB2312"/>
          <w:color w:val="000000"/>
          <w:sz w:val="32"/>
          <w:szCs w:val="32"/>
          <w:lang w:eastAsia="zh-CN"/>
        </w:rPr>
      </w:pPr>
      <w:bookmarkStart w:id="20" w:name="_Toc15396601"/>
      <w:bookmarkStart w:id="21" w:name="_Toc15377200"/>
      <w:r>
        <w:rPr>
          <w:rFonts w:hint="eastAsia" w:ascii="仿宋_GB2312" w:hAnsi="仿宋_GB2312" w:cs="仿宋_GB2312"/>
          <w:sz w:val="32"/>
          <w:szCs w:val="32"/>
          <w:lang w:val="en-US" w:eastAsia="zh-CN"/>
        </w:rPr>
        <w:t>2020年</w:t>
      </w:r>
      <w:r>
        <w:rPr>
          <w:rFonts w:hint="eastAsia" w:ascii="仿宋_GB2312" w:hAnsi="仿宋_GB2312" w:eastAsia="仿宋_GB2312" w:cs="仿宋_GB2312"/>
          <w:sz w:val="32"/>
          <w:szCs w:val="32"/>
        </w:rPr>
        <w:t>，袁家坝街道党工委、办事处坚定以习近平新时代中国特色社会主义思想为指导，坚决贯彻落实中央、省、市、区各项决策部署，</w:t>
      </w:r>
      <w:r>
        <w:rPr>
          <w:rFonts w:hint="eastAsia" w:hAnsi="楷体_GB2312" w:cs="楷体_GB2312"/>
          <w:color w:val="000000"/>
          <w:sz w:val="32"/>
          <w:szCs w:val="32"/>
          <w:lang w:eastAsia="zh-CN"/>
        </w:rPr>
        <w:t>坚持新发展理念，在常态化疫情防控中扎实做好“六稳”工作，全面落实“六保”任务，紧扣打赢“三大攻坚战”的整体目标，凝心聚力、开拓奋进，稳步推动各项工作。</w:t>
      </w:r>
    </w:p>
    <w:p>
      <w:pPr>
        <w:pStyle w:val="6"/>
        <w:adjustRightInd w:val="0"/>
        <w:snapToGrid w:val="0"/>
        <w:spacing w:before="0" w:beforeLines="0" w:line="560" w:lineRule="exact"/>
        <w:ind w:firstLine="640" w:firstLineChars="200"/>
        <w:rPr>
          <w:rFonts w:hint="eastAsia" w:hAnsi="楷体_GB2312" w:cs="楷体_GB2312"/>
          <w:color w:val="000000"/>
          <w:sz w:val="32"/>
          <w:szCs w:val="32"/>
          <w:lang w:val="en-US" w:eastAsia="zh-CN"/>
        </w:rPr>
      </w:pPr>
      <w:r>
        <w:rPr>
          <w:rFonts w:hint="eastAsia" w:hAnsi="楷体_GB2312" w:cs="楷体_GB2312"/>
          <w:color w:val="000000"/>
          <w:sz w:val="32"/>
          <w:szCs w:val="32"/>
          <w:lang w:val="en-US" w:eastAsia="zh-CN"/>
        </w:rPr>
        <w:t>一是全力以赴做好新冠肺炎疫情防控。压实工作责任。成立了疫情防控工作领导小组，研究制定了疫情防控工作方案，实行网格化管理、日上报制度。加强宣传引导。组织各村（社区）充分利用微信群、村局委居委公示栏、LED屏、广播等方式，广泛宣传疫情防控知识。建立疫情监测防线。坚决落实属地管理责任，全面启动村（社区）防控工作。实行网格化、地毯式管理，在主要交通节点建立10余个监测点开展体温检测，对辖区1.5万名常驻人口全面排查，对排查出的中高风险返（来）广66名人员进行严格隔离监护。协调防疫物资保障。积极协调各方资源筹集防疫物资，累计发放酒精1500余斤，口罩 7000余个，消毒液1000余斤，喷洒用具50余个，体温计30余个，为一线疫情防控筑起坚强后盾。助力企业复工复产。成立8个服务企业专项工作组，全天候协调解决企业复工复产过程中遇到的困难，为80余家小微企业办理复工复产手续。协调辖区村社空置民房，企业闲置厂房宿舍300余平米，为200多名返岗职工提供住宿保障。联系第三人民医院，为700余名辖区返岗职工进行排查和体检。</w:t>
      </w:r>
    </w:p>
    <w:p>
      <w:pPr>
        <w:pStyle w:val="6"/>
        <w:adjustRightInd w:val="0"/>
        <w:snapToGrid w:val="0"/>
        <w:spacing w:before="0" w:beforeLines="0" w:line="560" w:lineRule="exact"/>
        <w:ind w:firstLine="640" w:firstLineChars="200"/>
        <w:rPr>
          <w:rFonts w:hint="eastAsia" w:hAnsi="楷体_GB2312" w:cs="楷体_GB2312"/>
          <w:color w:val="000000"/>
          <w:sz w:val="32"/>
          <w:szCs w:val="32"/>
          <w:lang w:val="en-US" w:eastAsia="zh-CN"/>
        </w:rPr>
      </w:pPr>
      <w:r>
        <w:rPr>
          <w:rFonts w:hint="eastAsia" w:hAnsi="楷体_GB2312" w:cs="楷体_GB2312"/>
          <w:color w:val="000000"/>
          <w:sz w:val="32"/>
          <w:szCs w:val="32"/>
          <w:lang w:val="en-US" w:eastAsia="zh-CN"/>
        </w:rPr>
        <w:t>二是全力以赴防范化解社会重大风险。加强矛盾纠纷化解。2020年息访息诉3人</w:t>
      </w:r>
      <w:r>
        <w:rPr>
          <w:rFonts w:hint="eastAsia" w:hAnsi="楷体_GB2312" w:cs="楷体_GB2312"/>
          <w:color w:val="000000"/>
          <w:sz w:val="32"/>
          <w:szCs w:val="32"/>
          <w:lang w:eastAsia="zh-CN"/>
        </w:rPr>
        <w:t>，信访率比去年同期下降</w:t>
      </w:r>
      <w:r>
        <w:rPr>
          <w:rFonts w:hint="eastAsia" w:hAnsi="楷体_GB2312" w:cs="楷体_GB2312"/>
          <w:color w:val="000000"/>
          <w:sz w:val="32"/>
          <w:szCs w:val="32"/>
          <w:lang w:val="en-US" w:eastAsia="zh-CN"/>
        </w:rPr>
        <w:t>83%；排查出涉稳信访问题94件，调解成功率100%；排查出矛盾隐患94件，成功化解93件，化解率达98%。加强综治维稳力度。成立综治工作领导小组，</w:t>
      </w:r>
      <w:r>
        <w:rPr>
          <w:rFonts w:hint="eastAsia" w:hAnsi="楷体_GB2312" w:cs="楷体_GB2312"/>
          <w:color w:val="000000"/>
          <w:sz w:val="32"/>
          <w:szCs w:val="32"/>
          <w:lang w:eastAsia="zh-CN"/>
        </w:rPr>
        <w:t>落实包片、分线、分段责任，重点时段落实重点举措，重点节点实行全员动员，</w:t>
      </w:r>
      <w:r>
        <w:rPr>
          <w:rFonts w:hint="eastAsia" w:hAnsi="楷体_GB2312" w:cs="楷体_GB2312"/>
          <w:color w:val="000000"/>
          <w:sz w:val="32"/>
          <w:szCs w:val="32"/>
          <w:lang w:val="en-US" w:eastAsia="zh-CN"/>
        </w:rPr>
        <w:t>圆满完成了全国、省、市“两会”期间的综治维稳工作。</w:t>
      </w:r>
      <w:r>
        <w:rPr>
          <w:rFonts w:hint="eastAsia" w:hAnsi="楷体_GB2312" w:cs="楷体_GB2312"/>
          <w:color w:val="000000"/>
          <w:sz w:val="32"/>
          <w:szCs w:val="32"/>
          <w:lang w:eastAsia="zh-CN"/>
        </w:rPr>
        <w:t>全力抓好安全生产。召开安委会</w:t>
      </w:r>
      <w:r>
        <w:rPr>
          <w:rFonts w:hint="eastAsia" w:hAnsi="楷体_GB2312" w:cs="楷体_GB2312"/>
          <w:color w:val="000000"/>
          <w:sz w:val="32"/>
          <w:szCs w:val="32"/>
          <w:lang w:val="en-US" w:eastAsia="zh-CN"/>
        </w:rPr>
        <w:t>4</w:t>
      </w:r>
      <w:r>
        <w:rPr>
          <w:rFonts w:hint="eastAsia" w:hAnsi="楷体_GB2312" w:cs="楷体_GB2312"/>
          <w:color w:val="000000"/>
          <w:sz w:val="32"/>
          <w:szCs w:val="32"/>
          <w:lang w:eastAsia="zh-CN"/>
        </w:rPr>
        <w:t>次，</w:t>
      </w:r>
      <w:r>
        <w:rPr>
          <w:rFonts w:hint="eastAsia" w:hAnsi="楷体_GB2312" w:cs="楷体_GB2312"/>
          <w:color w:val="000000"/>
          <w:sz w:val="32"/>
          <w:szCs w:val="32"/>
          <w:lang w:val="en-US" w:eastAsia="zh-CN"/>
        </w:rPr>
        <w:t>开展食品安全信息员培训4次，制作展板横幅20幅，发放各类宣传单5000余份，排查企业隐患104处，下达整改指令43份，整改率100%。联合开展道路安全执法劝导70余次、整治道路隐患5处；深入推进抗旱防洪工作，龙沟水库等小二型水库放水近10万立方米，清理排水沟20公里；深入开展食品安全监管，农村家宴备案率100%；深入推进护林防火，排查整改隐患30余处，</w:t>
      </w:r>
      <w:r>
        <w:rPr>
          <w:rFonts w:hint="eastAsia" w:hAnsi="楷体_GB2312" w:cs="楷体_GB2312"/>
          <w:color w:val="000000"/>
          <w:sz w:val="32"/>
          <w:szCs w:val="32"/>
          <w:lang w:eastAsia="zh-CN"/>
        </w:rPr>
        <w:t>全年无重特大安全事故发生。</w:t>
      </w:r>
    </w:p>
    <w:p>
      <w:pPr>
        <w:pStyle w:val="6"/>
        <w:adjustRightInd w:val="0"/>
        <w:snapToGrid w:val="0"/>
        <w:spacing w:before="0" w:beforeLines="0" w:line="560" w:lineRule="exact"/>
        <w:ind w:firstLine="640" w:firstLineChars="200"/>
        <w:rPr>
          <w:rFonts w:hint="eastAsia" w:hAnsi="楷体_GB2312" w:cs="楷体_GB2312"/>
          <w:color w:val="000000"/>
          <w:sz w:val="32"/>
          <w:szCs w:val="32"/>
          <w:lang w:val="en-US" w:eastAsia="zh-CN"/>
        </w:rPr>
      </w:pPr>
      <w:r>
        <w:rPr>
          <w:rFonts w:hint="eastAsia" w:hAnsi="楷体_GB2312" w:cs="楷体_GB2312"/>
          <w:color w:val="000000"/>
          <w:sz w:val="32"/>
          <w:szCs w:val="32"/>
          <w:lang w:val="en-US" w:eastAsia="zh-CN"/>
        </w:rPr>
        <w:t>三是全力以赴抓实项目投资。强力推进征地拆迁。完成林丰、中孚项目范围内46栋房屋测绘工作，累计签订农房搬迁协议9户，农房安置7户，上报转非27人。清点附着物30余亩，征地16余亩，兑付土地款630余万元，有序推动各项征地拆迁工作。强力推动项目建设。全年推动实施项目37个，其中重点项目11个，一般项目26个。林丰铝电、博通铝业等11个续建项目顺利推进，众愿医疗、镇坤生物科技等9个项目已竣工投产。强力推进项目入库。1-10月完成固定资产投资完成34.48亿元，同比增长10%，预计能顺利完成42.8亿元的全年目标任务。</w:t>
      </w:r>
      <w:r>
        <w:rPr>
          <w:rFonts w:hint="eastAsia" w:hAnsi="楷体_GB2312" w:cs="楷体_GB2312"/>
          <w:color w:val="000000"/>
          <w:sz w:val="32"/>
          <w:szCs w:val="32"/>
          <w:lang w:eastAsia="zh-CN"/>
        </w:rPr>
        <w:t>积极配合招商。</w:t>
      </w:r>
      <w:r>
        <w:rPr>
          <w:rFonts w:hint="eastAsia" w:hAnsi="楷体_GB2312" w:cs="楷体_GB2312"/>
          <w:color w:val="000000"/>
          <w:sz w:val="32"/>
          <w:szCs w:val="32"/>
          <w:lang w:val="en-US" w:eastAsia="zh-CN"/>
        </w:rPr>
        <w:t>配合区招商引资局成功引进安徽金誉材料股份有限公司、浙江洛兴铝业有限公司等企业10个，签约资金达22.86亿元。</w:t>
      </w:r>
    </w:p>
    <w:p>
      <w:pPr>
        <w:pStyle w:val="6"/>
        <w:adjustRightInd w:val="0"/>
        <w:snapToGrid w:val="0"/>
        <w:spacing w:before="0" w:beforeLines="0" w:line="560" w:lineRule="exact"/>
        <w:ind w:firstLine="640" w:firstLineChars="200"/>
        <w:rPr>
          <w:rFonts w:hint="eastAsia" w:hAnsi="楷体_GB2312" w:cs="楷体_GB2312"/>
          <w:color w:val="000000"/>
          <w:sz w:val="32"/>
          <w:szCs w:val="32"/>
          <w:lang w:val="en-US" w:eastAsia="zh-CN"/>
        </w:rPr>
      </w:pPr>
      <w:r>
        <w:rPr>
          <w:rFonts w:hint="eastAsia" w:hAnsi="楷体_GB2312" w:cs="楷体_GB2312"/>
          <w:color w:val="000000"/>
          <w:sz w:val="32"/>
          <w:szCs w:val="32"/>
          <w:lang w:eastAsia="zh-CN"/>
        </w:rPr>
        <w:t>四是全力以赴夯实产业基础。加强企业服务。实行班子成员挂联项目、企业制度，每周至少到场一次，明确自身的服务员、协调员、护航员职责定位，推动问题整改落实</w:t>
      </w:r>
      <w:r>
        <w:rPr>
          <w:rFonts w:hint="eastAsia" w:hAnsi="楷体_GB2312" w:cs="楷体_GB2312"/>
          <w:color w:val="000000"/>
          <w:sz w:val="32"/>
          <w:szCs w:val="32"/>
          <w:lang w:val="en-US" w:eastAsia="zh-CN"/>
        </w:rPr>
        <w:t>8</w:t>
      </w:r>
      <w:r>
        <w:rPr>
          <w:rFonts w:hint="eastAsia" w:hAnsi="楷体_GB2312" w:cs="楷体_GB2312"/>
          <w:color w:val="000000"/>
          <w:sz w:val="32"/>
          <w:szCs w:val="32"/>
          <w:lang w:eastAsia="zh-CN"/>
        </w:rPr>
        <w:t>个。对辖区所有人员技能、务工需求等情况进行统计，及时与企业沟通对接，配合举办各类招聘会</w:t>
      </w:r>
      <w:r>
        <w:rPr>
          <w:rFonts w:hint="eastAsia" w:hAnsi="楷体_GB2312" w:cs="楷体_GB2312"/>
          <w:color w:val="000000"/>
          <w:sz w:val="32"/>
          <w:szCs w:val="32"/>
          <w:lang w:val="en-US" w:eastAsia="zh-CN"/>
        </w:rPr>
        <w:t>3</w:t>
      </w:r>
      <w:r>
        <w:rPr>
          <w:rFonts w:hint="eastAsia" w:hAnsi="楷体_GB2312" w:cs="楷体_GB2312"/>
          <w:color w:val="000000"/>
          <w:sz w:val="32"/>
          <w:szCs w:val="32"/>
          <w:lang w:eastAsia="zh-CN"/>
        </w:rPr>
        <w:t>场次。加强产业发展。谋划启动农耕文化体验园、“皇则天曌”生态康养等乡村振兴项目。仕农村冷库建设项目已全面启动，</w:t>
      </w:r>
      <w:r>
        <w:rPr>
          <w:rFonts w:hint="eastAsia" w:hAnsi="楷体_GB2312" w:cs="楷体_GB2312"/>
          <w:color w:val="000000"/>
          <w:sz w:val="32"/>
          <w:szCs w:val="32"/>
          <w:lang w:val="en-US" w:eastAsia="zh-CN"/>
        </w:rPr>
        <w:t>山药、魔芋等20余亩林下经济项目已全面启动，神石沟农业观光园、采摘园全面提档升级。</w:t>
      </w:r>
    </w:p>
    <w:p>
      <w:pPr>
        <w:pStyle w:val="6"/>
        <w:adjustRightInd w:val="0"/>
        <w:snapToGrid w:val="0"/>
        <w:spacing w:before="0" w:beforeLines="0" w:line="560" w:lineRule="exact"/>
        <w:ind w:firstLine="640" w:firstLineChars="200"/>
        <w:rPr>
          <w:rFonts w:hint="eastAsia" w:hAnsi="楷体_GB2312" w:cs="楷体_GB2312"/>
          <w:color w:val="000000"/>
          <w:sz w:val="32"/>
          <w:szCs w:val="32"/>
          <w:lang w:val="en-US" w:eastAsia="zh-CN"/>
        </w:rPr>
      </w:pPr>
      <w:r>
        <w:rPr>
          <w:rFonts w:hint="eastAsia" w:hAnsi="楷体_GB2312" w:cs="楷体_GB2312"/>
          <w:color w:val="000000"/>
          <w:sz w:val="32"/>
          <w:szCs w:val="32"/>
          <w:lang w:eastAsia="zh-CN"/>
        </w:rPr>
        <w:t>五是全力以赴抓实污染防治。严格加强监控。</w:t>
      </w:r>
      <w:r>
        <w:rPr>
          <w:rFonts w:hint="eastAsia" w:hAnsi="楷体_GB2312" w:cs="楷体_GB2312"/>
          <w:color w:val="000000"/>
          <w:sz w:val="32"/>
          <w:szCs w:val="32"/>
          <w:lang w:val="en-US" w:eastAsia="zh-CN"/>
        </w:rPr>
        <w:t>落实常态化举措，全力以赴打好蓝天保卫战，严格落实大气污染防治工作“一长三员”职责，对林丰铝电、博通施工工地、大数据施工工地、废旧循环铝施工工地等13个施工工地，对兴域建材、桦森建材5个非煤矿山严格监督管理。加强问题整改。结合环保督察“回头看”，农村人居环境综合治理，“散乱污”专项整治和秸秆禁烧等工作，下达整改通知书18份，裸露地面和区域抑尘覆盖面积20余万平方米，清理建渣400余吨，平整弃土600余平方，清理牛皮癣320余处、清理背街小巷垃圾30余吨，清理疏通堵塞沟渠1000余米。加强河库管理。做好“河（库）长制”工作，落实每月3次以上巡河制度；清理河道漂浮垃圾10余吨，开展了30余次钓鱼人员的劝离、处置工作。</w:t>
      </w:r>
    </w:p>
    <w:p>
      <w:pPr>
        <w:pStyle w:val="6"/>
        <w:adjustRightInd w:val="0"/>
        <w:snapToGrid w:val="0"/>
        <w:spacing w:before="0" w:beforeLines="0" w:line="560" w:lineRule="exact"/>
        <w:ind w:firstLine="640" w:firstLineChars="200"/>
        <w:rPr>
          <w:rFonts w:hint="eastAsia" w:hAnsi="楷体_GB2312" w:cs="楷体_GB2312"/>
          <w:color w:val="000000"/>
          <w:sz w:val="32"/>
          <w:szCs w:val="32"/>
          <w:lang w:val="en-US" w:eastAsia="zh-CN"/>
        </w:rPr>
      </w:pPr>
      <w:r>
        <w:rPr>
          <w:rFonts w:hint="eastAsia" w:hAnsi="楷体_GB2312" w:cs="楷体_GB2312"/>
          <w:color w:val="000000"/>
          <w:sz w:val="32"/>
          <w:szCs w:val="32"/>
          <w:lang w:val="en-US" w:eastAsia="zh-CN"/>
        </w:rPr>
        <w:t>六是全力以赴保障改善民生。坚决打赢</w:t>
      </w:r>
      <w:r>
        <w:rPr>
          <w:rFonts w:hint="eastAsia" w:hAnsi="楷体_GB2312" w:cs="楷体_GB2312"/>
          <w:color w:val="000000"/>
          <w:sz w:val="32"/>
          <w:szCs w:val="32"/>
          <w:lang w:eastAsia="zh-CN"/>
        </w:rPr>
        <w:t>脱贫攻坚收官战。投入资金</w:t>
      </w:r>
      <w:r>
        <w:rPr>
          <w:rFonts w:hint="eastAsia" w:hAnsi="楷体_GB2312" w:cs="楷体_GB2312"/>
          <w:color w:val="000000"/>
          <w:sz w:val="32"/>
          <w:szCs w:val="32"/>
          <w:lang w:val="en-US" w:eastAsia="zh-CN"/>
        </w:rPr>
        <w:t>114.77余</w:t>
      </w:r>
      <w:r>
        <w:rPr>
          <w:rFonts w:hint="eastAsia" w:hAnsi="楷体_GB2312" w:cs="楷体_GB2312"/>
          <w:color w:val="000000"/>
          <w:sz w:val="32"/>
          <w:szCs w:val="32"/>
          <w:lang w:eastAsia="zh-CN"/>
        </w:rPr>
        <w:t>万元，全面完成基础设施建设、产业发展等15个脱贫攻坚项目。</w:t>
      </w:r>
      <w:r>
        <w:rPr>
          <w:rFonts w:hint="eastAsia" w:hAnsi="楷体_GB2312" w:cs="楷体_GB2312"/>
          <w:color w:val="000000"/>
          <w:sz w:val="32"/>
          <w:szCs w:val="32"/>
          <w:lang w:val="en-US" w:eastAsia="zh-CN"/>
        </w:rPr>
        <w:t>建立返贫预警监测台账，落实低保兜底政策。开展就业技能培训2次，动员14户16人务工就业。加强产业发展引导，以产业带动就业，带动贫困户、低保人员人均增收3200余元，22户贫困户顺利通过</w:t>
      </w:r>
      <w:r>
        <w:rPr>
          <w:rFonts w:hint="eastAsia" w:hAnsi="楷体_GB2312" w:cs="楷体_GB2312"/>
          <w:color w:val="000000"/>
          <w:sz w:val="32"/>
          <w:szCs w:val="32"/>
          <w:lang w:eastAsia="zh-CN"/>
        </w:rPr>
        <w:t>全省脱贫攻坚检查验收</w:t>
      </w:r>
      <w:r>
        <w:rPr>
          <w:rFonts w:hint="eastAsia" w:hAnsi="楷体_GB2312" w:cs="楷体_GB2312"/>
          <w:color w:val="000000"/>
          <w:sz w:val="32"/>
          <w:szCs w:val="32"/>
          <w:lang w:val="en-US" w:eastAsia="zh-CN"/>
        </w:rPr>
        <w:t>。</w:t>
      </w:r>
      <w:r>
        <w:rPr>
          <w:rFonts w:hint="eastAsia" w:hAnsi="楷体_GB2312" w:cs="楷体_GB2312"/>
          <w:color w:val="000000"/>
          <w:sz w:val="32"/>
          <w:szCs w:val="32"/>
          <w:lang w:eastAsia="zh-CN"/>
        </w:rPr>
        <w:t>加强社会保障。</w:t>
      </w:r>
      <w:r>
        <w:rPr>
          <w:rFonts w:hint="eastAsia" w:hAnsi="楷体_GB2312" w:cs="楷体_GB2312"/>
          <w:color w:val="000000"/>
          <w:sz w:val="32"/>
          <w:szCs w:val="32"/>
          <w:lang w:val="en-US" w:eastAsia="zh-CN"/>
        </w:rPr>
        <w:t>全面落实十大救助政策，动态低保调整29人，完成311户148万元低保金发放。发放困难生活补贴12余万元，解决群众临时救助8万余元，城乡居保参保实现应保尽保。加强非洲猪瘟防疫防控。配合区动物防疫部门在春季对辖区生猪、畜禽、狗等进行了预防针注射，开展圈舍定期消毒等防疫防控工作</w:t>
      </w:r>
      <w:r>
        <w:rPr>
          <w:rFonts w:hint="eastAsia" w:hAnsi="楷体_GB2312" w:cs="楷体_GB2312"/>
          <w:color w:val="000000"/>
          <w:sz w:val="32"/>
          <w:szCs w:val="32"/>
          <w:lang w:eastAsia="zh-CN"/>
        </w:rPr>
        <w:t>。</w:t>
      </w:r>
    </w:p>
    <w:p>
      <w:pPr>
        <w:pStyle w:val="6"/>
        <w:adjustRightInd w:val="0"/>
        <w:snapToGrid w:val="0"/>
        <w:spacing w:before="0" w:beforeLines="0" w:line="560" w:lineRule="exact"/>
        <w:ind w:firstLine="640" w:firstLineChars="200"/>
        <w:rPr>
          <w:rFonts w:hint="eastAsia" w:hAnsi="楷体_GB2312" w:cs="楷体_GB2312"/>
          <w:color w:val="000000"/>
          <w:sz w:val="32"/>
          <w:szCs w:val="32"/>
          <w:lang w:val="en-US" w:eastAsia="zh-CN"/>
        </w:rPr>
      </w:pPr>
      <w:r>
        <w:rPr>
          <w:rFonts w:hint="eastAsia" w:hAnsi="楷体_GB2312" w:cs="楷体_GB2312"/>
          <w:color w:val="000000"/>
          <w:sz w:val="32"/>
          <w:szCs w:val="32"/>
          <w:lang w:val="en-US" w:eastAsia="zh-CN"/>
        </w:rPr>
        <w:t>七是全力以赴推动城乡基层治理。推进村级建制调整改革。成把9个基层组织调整为3村2居，调减4个村社基层组织，调减率达44%，做好村级建制调整“后半篇”文章，调整优化村（居）民小组9个。推动美丽宜居乡村建设。推进厕所革命，完成375口露天厕所盖板改造，完成285口三格化粪池改造。</w:t>
      </w:r>
      <w:r>
        <w:rPr>
          <w:rFonts w:hint="eastAsia" w:hAnsi="楷体_GB2312" w:cs="楷体_GB2312"/>
          <w:color w:val="000000"/>
          <w:sz w:val="32"/>
          <w:szCs w:val="32"/>
          <w:lang w:eastAsia="zh-CN"/>
        </w:rPr>
        <w:t>完成</w:t>
      </w:r>
      <w:r>
        <w:rPr>
          <w:rFonts w:hint="eastAsia" w:hAnsi="楷体_GB2312" w:cs="楷体_GB2312"/>
          <w:color w:val="000000"/>
          <w:sz w:val="32"/>
          <w:szCs w:val="32"/>
          <w:lang w:val="en-US" w:eastAsia="zh-CN"/>
        </w:rPr>
        <w:t>覃家梁村天然气工程建设。投入660万元，完成惠家沟社区污水管网改建、仕农村水井弯煤矿复绿、仕农村张家沟水库与覃家梁红旗水库整治、协合村堰渠治理等项目，努力建设建设村容整洁、规范有序、环境优美的美丽宜居乡村。</w:t>
      </w:r>
    </w:p>
    <w:p>
      <w:pPr>
        <w:pStyle w:val="6"/>
        <w:adjustRightInd w:val="0"/>
        <w:snapToGrid w:val="0"/>
        <w:spacing w:before="0" w:beforeLines="0" w:line="560" w:lineRule="exact"/>
        <w:ind w:firstLine="640" w:firstLineChars="200"/>
        <w:rPr>
          <w:rFonts w:hint="eastAsia" w:hAnsi="楷体_GB2312" w:cs="楷体_GB2312"/>
          <w:color w:val="000000"/>
          <w:sz w:val="32"/>
          <w:szCs w:val="32"/>
          <w:lang w:eastAsia="zh-CN"/>
        </w:rPr>
      </w:pPr>
      <w:r>
        <w:rPr>
          <w:rFonts w:hint="eastAsia" w:hAnsi="楷体_GB2312" w:cs="楷体_GB2312"/>
          <w:color w:val="000000"/>
          <w:sz w:val="32"/>
          <w:szCs w:val="32"/>
          <w:lang w:val="en-US" w:eastAsia="zh-CN"/>
        </w:rPr>
        <w:t>八是全力以赴推动全面从严治党。</w:t>
      </w:r>
      <w:r>
        <w:rPr>
          <w:rFonts w:hint="eastAsia" w:hAnsi="楷体_GB2312" w:cs="楷体_GB2312"/>
          <w:color w:val="000000"/>
          <w:sz w:val="32"/>
          <w:szCs w:val="32"/>
          <w:lang w:eastAsia="zh-CN"/>
        </w:rPr>
        <w:t>着力提高政治站位。始终把党的政治建设摆在第一位，增强“四个意识”，坚定“四个自信”，做到“两个维护”。着力强化问题整改。深入查摆市委巡察组巡察反馈问题，对涉及到的相关资金进行了追缴，对涉及到的当事人开展了深刻的批评教育。深入开展蒲波案、赵自学案、刘亚洲案以案促改工作，全面加强警示教育。执行“三重一大”议事决策规则，开展廉政教育</w:t>
      </w:r>
      <w:r>
        <w:rPr>
          <w:rFonts w:hint="eastAsia" w:hAnsi="楷体_GB2312" w:cs="楷体_GB2312"/>
          <w:color w:val="000000"/>
          <w:sz w:val="32"/>
          <w:szCs w:val="32"/>
          <w:lang w:val="en-US" w:eastAsia="zh-CN"/>
        </w:rPr>
        <w:t>4</w:t>
      </w:r>
      <w:r>
        <w:rPr>
          <w:rFonts w:hint="eastAsia" w:hAnsi="楷体_GB2312" w:cs="楷体_GB2312"/>
          <w:color w:val="000000"/>
          <w:sz w:val="32"/>
          <w:szCs w:val="32"/>
          <w:lang w:eastAsia="zh-CN"/>
        </w:rPr>
        <w:t>次。构建作风建设长效机制，抽查干部履职情况</w:t>
      </w:r>
      <w:r>
        <w:rPr>
          <w:rFonts w:hint="eastAsia" w:hAnsi="楷体_GB2312" w:cs="楷体_GB2312"/>
          <w:color w:val="000000"/>
          <w:sz w:val="32"/>
          <w:szCs w:val="32"/>
          <w:lang w:val="en-US" w:eastAsia="zh-CN"/>
        </w:rPr>
        <w:t>30</w:t>
      </w:r>
      <w:r>
        <w:rPr>
          <w:rFonts w:hint="eastAsia" w:hAnsi="楷体_GB2312" w:cs="楷体_GB2312"/>
          <w:color w:val="000000"/>
          <w:sz w:val="32"/>
          <w:szCs w:val="32"/>
          <w:lang w:eastAsia="zh-CN"/>
        </w:rPr>
        <w:t>余次，全年立案查处党员干部</w:t>
      </w:r>
      <w:r>
        <w:rPr>
          <w:rFonts w:hint="eastAsia" w:hAnsi="楷体_GB2312" w:cs="楷体_GB2312"/>
          <w:color w:val="000000"/>
          <w:sz w:val="32"/>
          <w:szCs w:val="32"/>
          <w:lang w:val="en-US" w:eastAsia="zh-CN"/>
        </w:rPr>
        <w:t>4</w:t>
      </w:r>
      <w:r>
        <w:rPr>
          <w:rFonts w:hint="eastAsia" w:hAnsi="楷体_GB2312" w:cs="楷体_GB2312"/>
          <w:color w:val="000000"/>
          <w:sz w:val="32"/>
          <w:szCs w:val="32"/>
          <w:lang w:eastAsia="zh-CN"/>
        </w:rPr>
        <w:t>人，其中开除党籍</w:t>
      </w:r>
      <w:r>
        <w:rPr>
          <w:rFonts w:hint="eastAsia" w:hAnsi="楷体_GB2312" w:cs="楷体_GB2312"/>
          <w:color w:val="000000"/>
          <w:sz w:val="32"/>
          <w:szCs w:val="32"/>
          <w:lang w:val="en-US" w:eastAsia="zh-CN"/>
        </w:rPr>
        <w:t>2人，警告处分2人。</w:t>
      </w:r>
      <w:r>
        <w:rPr>
          <w:rFonts w:hint="eastAsia" w:hAnsi="楷体_GB2312" w:cs="楷体_GB2312"/>
          <w:color w:val="000000"/>
          <w:sz w:val="32"/>
          <w:szCs w:val="32"/>
          <w:lang w:eastAsia="zh-CN"/>
        </w:rPr>
        <w:t>强化基层组织建设。加强第一书记管理，开展谈心谈话</w:t>
      </w:r>
      <w:r>
        <w:rPr>
          <w:rFonts w:hint="eastAsia" w:hAnsi="楷体_GB2312" w:cs="楷体_GB2312"/>
          <w:color w:val="000000"/>
          <w:sz w:val="32"/>
          <w:szCs w:val="32"/>
          <w:lang w:val="en-US" w:eastAsia="zh-CN"/>
        </w:rPr>
        <w:t>8</w:t>
      </w:r>
      <w:r>
        <w:rPr>
          <w:rFonts w:hint="eastAsia" w:hAnsi="楷体_GB2312" w:cs="楷体_GB2312"/>
          <w:color w:val="000000"/>
          <w:sz w:val="32"/>
          <w:szCs w:val="32"/>
          <w:lang w:eastAsia="zh-CN"/>
        </w:rPr>
        <w:t>次，农民夜校开课</w:t>
      </w:r>
      <w:r>
        <w:rPr>
          <w:rFonts w:hint="eastAsia" w:hAnsi="楷体_GB2312" w:cs="楷体_GB2312"/>
          <w:color w:val="000000"/>
          <w:sz w:val="32"/>
          <w:szCs w:val="32"/>
          <w:lang w:val="en-US" w:eastAsia="zh-CN"/>
        </w:rPr>
        <w:t>120</w:t>
      </w:r>
      <w:r>
        <w:rPr>
          <w:rFonts w:hint="eastAsia" w:hAnsi="楷体_GB2312" w:cs="楷体_GB2312"/>
          <w:color w:val="000000"/>
          <w:sz w:val="32"/>
          <w:szCs w:val="32"/>
          <w:lang w:eastAsia="zh-CN"/>
        </w:rPr>
        <w:t>余学时。加强后备力量培养，培养入党积极分子</w:t>
      </w:r>
      <w:r>
        <w:rPr>
          <w:rFonts w:hint="eastAsia" w:hAnsi="楷体_GB2312" w:cs="楷体_GB2312"/>
          <w:color w:val="000000"/>
          <w:sz w:val="32"/>
          <w:szCs w:val="32"/>
          <w:lang w:val="en-US" w:eastAsia="zh-CN"/>
        </w:rPr>
        <w:t>13</w:t>
      </w:r>
      <w:r>
        <w:rPr>
          <w:rFonts w:hint="eastAsia" w:hAnsi="楷体_GB2312" w:cs="楷体_GB2312"/>
          <w:color w:val="000000"/>
          <w:sz w:val="32"/>
          <w:szCs w:val="32"/>
          <w:lang w:eastAsia="zh-CN"/>
        </w:rPr>
        <w:t>名，发展预备党员</w:t>
      </w:r>
      <w:r>
        <w:rPr>
          <w:rFonts w:hint="eastAsia" w:hAnsi="楷体_GB2312" w:cs="楷体_GB2312"/>
          <w:color w:val="000000"/>
          <w:sz w:val="32"/>
          <w:szCs w:val="32"/>
          <w:lang w:val="en-US" w:eastAsia="zh-CN"/>
        </w:rPr>
        <w:t>10</w:t>
      </w:r>
      <w:r>
        <w:rPr>
          <w:rFonts w:hint="eastAsia" w:hAnsi="楷体_GB2312" w:cs="楷体_GB2312"/>
          <w:color w:val="000000"/>
          <w:sz w:val="32"/>
          <w:szCs w:val="32"/>
          <w:lang w:eastAsia="zh-CN"/>
        </w:rPr>
        <w:t>名，培养后备干部</w:t>
      </w:r>
      <w:r>
        <w:rPr>
          <w:rFonts w:hint="eastAsia" w:hAnsi="楷体_GB2312" w:cs="楷体_GB2312"/>
          <w:color w:val="000000"/>
          <w:sz w:val="32"/>
          <w:szCs w:val="32"/>
          <w:lang w:val="en-US" w:eastAsia="zh-CN"/>
        </w:rPr>
        <w:t>6</w:t>
      </w:r>
      <w:r>
        <w:rPr>
          <w:rFonts w:hint="eastAsia" w:hAnsi="楷体_GB2312" w:cs="楷体_GB2312"/>
          <w:color w:val="000000"/>
          <w:sz w:val="32"/>
          <w:szCs w:val="32"/>
          <w:lang w:eastAsia="zh-CN"/>
        </w:rPr>
        <w:t>人。全力做好基层“两委”换届工作。</w:t>
      </w:r>
    </w:p>
    <w:p>
      <w:pPr>
        <w:pStyle w:val="4"/>
        <w:ind w:firstLine="640" w:firstLineChars="200"/>
        <w:rPr>
          <w:rStyle w:val="26"/>
          <w:b w:val="0"/>
          <w:bCs w:val="0"/>
        </w:rPr>
      </w:pPr>
      <w:r>
        <w:rPr>
          <w:rFonts w:hint="eastAsia" w:ascii="黑体" w:hAnsi="黑体" w:eastAsia="黑体"/>
          <w:b w:val="0"/>
          <w:color w:val="000000"/>
          <w:lang w:eastAsia="zh-CN"/>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pStyle w:val="31"/>
        <w:spacing w:line="49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sz w:val="32"/>
          <w:szCs w:val="32"/>
          <w:lang w:eastAsia="zh-CN"/>
        </w:rPr>
        <w:t>袁家坝</w:t>
      </w:r>
      <w:r>
        <w:rPr>
          <w:rFonts w:hint="eastAsia" w:ascii="仿宋_GB2312" w:eastAsia="仿宋_GB2312" w:cs="仿宋_GB2312"/>
          <w:sz w:val="32"/>
          <w:szCs w:val="32"/>
        </w:rPr>
        <w:t>街道办事处下辖</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个行政村（</w:t>
      </w:r>
      <w:r>
        <w:rPr>
          <w:rFonts w:hint="eastAsia" w:ascii="仿宋_GB2312" w:eastAsia="仿宋_GB2312" w:cs="仿宋_GB2312"/>
          <w:sz w:val="32"/>
          <w:szCs w:val="32"/>
          <w:lang w:eastAsia="zh-CN"/>
        </w:rPr>
        <w:t>协合</w:t>
      </w:r>
      <w:r>
        <w:rPr>
          <w:rFonts w:hint="eastAsia" w:ascii="仿宋_GB2312" w:eastAsia="仿宋_GB2312" w:cs="仿宋_GB2312"/>
          <w:sz w:val="32"/>
          <w:szCs w:val="32"/>
        </w:rPr>
        <w:t>村、</w:t>
      </w:r>
      <w:r>
        <w:rPr>
          <w:rFonts w:hint="eastAsia" w:ascii="仿宋_GB2312" w:eastAsia="仿宋_GB2312" w:cs="仿宋_GB2312"/>
          <w:sz w:val="32"/>
          <w:szCs w:val="32"/>
          <w:lang w:eastAsia="zh-CN"/>
        </w:rPr>
        <w:t>仕农</w:t>
      </w:r>
      <w:r>
        <w:rPr>
          <w:rFonts w:hint="eastAsia" w:ascii="仿宋_GB2312" w:eastAsia="仿宋_GB2312" w:cs="仿宋_GB2312"/>
          <w:sz w:val="32"/>
          <w:szCs w:val="32"/>
        </w:rPr>
        <w:t>村、</w:t>
      </w:r>
      <w:r>
        <w:rPr>
          <w:rFonts w:hint="eastAsia" w:ascii="仿宋_GB2312" w:eastAsia="仿宋_GB2312" w:cs="仿宋_GB2312"/>
          <w:sz w:val="32"/>
          <w:szCs w:val="32"/>
          <w:lang w:eastAsia="zh-CN"/>
        </w:rPr>
        <w:t>覃家梁村</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个社区（</w:t>
      </w:r>
      <w:r>
        <w:rPr>
          <w:rFonts w:hint="eastAsia" w:ascii="仿宋_GB2312" w:eastAsia="仿宋_GB2312" w:cs="仿宋_GB2312"/>
          <w:sz w:val="32"/>
          <w:szCs w:val="32"/>
          <w:lang w:eastAsia="zh-CN"/>
        </w:rPr>
        <w:t>嘉陵</w:t>
      </w:r>
      <w:r>
        <w:rPr>
          <w:rFonts w:hint="eastAsia" w:ascii="仿宋_GB2312" w:eastAsia="仿宋_GB2312" w:cs="仿宋_GB2312"/>
          <w:sz w:val="32"/>
          <w:szCs w:val="32"/>
        </w:rPr>
        <w:t>社区、</w:t>
      </w:r>
      <w:r>
        <w:rPr>
          <w:rFonts w:hint="eastAsia" w:ascii="仿宋_GB2312" w:eastAsia="仿宋_GB2312" w:cs="仿宋_GB2312"/>
          <w:sz w:val="32"/>
          <w:szCs w:val="32"/>
          <w:lang w:eastAsia="zh-CN"/>
        </w:rPr>
        <w:t>惠家沟</w:t>
      </w:r>
      <w:r>
        <w:rPr>
          <w:rFonts w:hint="eastAsia" w:ascii="仿宋_GB2312" w:eastAsia="仿宋_GB2312" w:cs="仿宋_GB2312"/>
          <w:sz w:val="32"/>
          <w:szCs w:val="32"/>
        </w:rPr>
        <w:t>社区）。</w:t>
      </w:r>
      <w:r>
        <w:rPr>
          <w:rFonts w:hint="eastAsia" w:ascii="仿宋_GB2312" w:hAnsi="仿宋_GB2312" w:eastAsia="仿宋_GB2312" w:cs="仿宋_GB2312"/>
          <w:sz w:val="32"/>
          <w:szCs w:val="32"/>
        </w:rPr>
        <w:t>实际财政供养总人数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人，其中：在职正式人员</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名，聘用人员</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w:t>
      </w:r>
      <w:r>
        <w:rPr>
          <w:rStyle w:val="25"/>
          <w:rFonts w:hint="eastAsia" w:ascii="黑体" w:hAnsi="黑体" w:eastAsia="黑体"/>
          <w:b w:val="0"/>
          <w:bCs w:val="0"/>
          <w:lang w:val="en-US" w:eastAsia="zh-CN"/>
        </w:rPr>
        <w:t>20</w:t>
      </w:r>
      <w:r>
        <w:rPr>
          <w:rStyle w:val="25"/>
          <w:rFonts w:hint="eastAsia" w:ascii="黑体" w:hAnsi="黑体" w:eastAsia="黑体"/>
          <w:b w:val="0"/>
          <w:bCs w:val="0"/>
        </w:rPr>
        <w:t>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850.89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lang w:val="en-US" w:eastAsia="zh-CN"/>
        </w:rPr>
        <w:t>852.89万元</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年财政拨款支总计</w:t>
      </w:r>
      <w:r>
        <w:rPr>
          <w:rFonts w:hint="eastAsia" w:ascii="仿宋" w:hAnsi="仿宋" w:eastAsia="仿宋"/>
          <w:color w:val="000000"/>
          <w:sz w:val="32"/>
          <w:szCs w:val="32"/>
          <w:lang w:val="en-US" w:eastAsia="zh-CN"/>
        </w:rPr>
        <w:t>850.89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5.47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0.6</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年财政拨款支总计</w:t>
      </w:r>
      <w:r>
        <w:rPr>
          <w:rFonts w:hint="eastAsia" w:ascii="仿宋" w:hAnsi="仿宋" w:eastAsia="仿宋"/>
          <w:color w:val="000000"/>
          <w:sz w:val="32"/>
          <w:szCs w:val="32"/>
          <w:lang w:val="en-US" w:eastAsia="zh-CN"/>
        </w:rPr>
        <w:t>852.89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3.47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0.4</w:t>
      </w:r>
      <w:r>
        <w:rPr>
          <w:rFonts w:ascii="仿宋" w:hAnsi="仿宋" w:eastAsia="仿宋"/>
          <w:color w:val="000000"/>
          <w:sz w:val="32"/>
          <w:szCs w:val="32"/>
        </w:rPr>
        <w:t>%</w:t>
      </w:r>
      <w:r>
        <w:rPr>
          <w:rFonts w:hint="eastAsia" w:ascii="仿宋" w:hAnsi="仿宋" w:eastAsia="仿宋"/>
          <w:color w:val="000000"/>
          <w:sz w:val="32"/>
          <w:szCs w:val="32"/>
        </w:rPr>
        <w:t>。</w:t>
      </w: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_GB2312" w:eastAsia="仿宋"/>
          <w:color w:val="FF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850.89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850.89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852.89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410.21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48.09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442.68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51.91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_GB2312" w:eastAsia="仿宋_GB2312"/>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lang w:val="en-US" w:eastAsia="zh-CN"/>
        </w:rPr>
        <w:t>850.89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lang w:val="en-US" w:eastAsia="zh-CN"/>
        </w:rPr>
        <w:t>852.89万元</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年财政拨款支总计</w:t>
      </w:r>
      <w:r>
        <w:rPr>
          <w:rFonts w:hint="eastAsia" w:ascii="仿宋" w:hAnsi="仿宋" w:eastAsia="仿宋"/>
          <w:color w:val="000000"/>
          <w:sz w:val="32"/>
          <w:szCs w:val="32"/>
          <w:lang w:val="en-US" w:eastAsia="zh-CN"/>
        </w:rPr>
        <w:t>850.89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5.47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0.6</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年财政拨款支总计</w:t>
      </w:r>
      <w:r>
        <w:rPr>
          <w:rFonts w:hint="eastAsia" w:ascii="仿宋" w:hAnsi="仿宋" w:eastAsia="仿宋"/>
          <w:color w:val="000000"/>
          <w:sz w:val="32"/>
          <w:szCs w:val="32"/>
          <w:lang w:val="en-US" w:eastAsia="zh-CN"/>
        </w:rPr>
        <w:t>852.89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3.47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0.4</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852.89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3.47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0.4</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852.89</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421.3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49.4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color w:val="000000" w:themeColor="text1"/>
          <w:sz w:val="32"/>
          <w:szCs w:val="32"/>
          <w:lang w:val="en-US" w:eastAsia="zh-CN"/>
          <w14:textFill>
            <w14:solidFill>
              <w14:schemeClr w14:val="tx1"/>
            </w14:solidFill>
          </w14:textFill>
        </w:rPr>
        <w:t>5.99万元，占0.7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社会保障和就业（类）支出</w:t>
      </w:r>
      <w:r>
        <w:rPr>
          <w:rFonts w:hint="eastAsia" w:ascii="仿宋" w:hAnsi="仿宋" w:eastAsia="仿宋"/>
          <w:color w:val="000000" w:themeColor="text1"/>
          <w:sz w:val="32"/>
          <w:szCs w:val="32"/>
          <w:lang w:val="en-US" w:eastAsia="zh-CN"/>
          <w14:textFill>
            <w14:solidFill>
              <w14:schemeClr w14:val="tx1"/>
            </w14:solidFill>
          </w14:textFill>
        </w:rPr>
        <w:t>44.87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5.26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sz w:val="32"/>
          <w:szCs w:val="32"/>
        </w:rPr>
        <w:t>卫生</w:t>
      </w:r>
      <w:r>
        <w:rPr>
          <w:rFonts w:hint="eastAsia" w:ascii="仿宋_GB2312" w:hAnsi="仿宋_GB2312" w:eastAsia="仿宋_GB2312" w:cs="仿宋_GB2312"/>
          <w:b/>
          <w:bCs/>
          <w:color w:val="000000"/>
          <w:sz w:val="32"/>
          <w:szCs w:val="32"/>
          <w:lang w:eastAsia="zh-CN"/>
        </w:rPr>
        <w:t>健康</w:t>
      </w:r>
      <w:r>
        <w:rPr>
          <w:rFonts w:hint="eastAsia" w:ascii="仿宋_GB2312" w:hAnsi="仿宋_GB2312" w:eastAsia="仿宋_GB2312" w:cs="仿宋_GB2312"/>
          <w:b/>
          <w:bCs/>
          <w:color w:val="000000"/>
          <w:sz w:val="32"/>
          <w:szCs w:val="32"/>
        </w:rPr>
        <w:t>支出</w:t>
      </w:r>
      <w:r>
        <w:rPr>
          <w:rFonts w:hint="eastAsia" w:ascii="仿宋_GB2312" w:hAnsi="仿宋_GB2312" w:eastAsia="仿宋_GB2312" w:cs="仿宋_GB2312"/>
          <w:color w:val="000000"/>
          <w:sz w:val="32"/>
          <w:szCs w:val="32"/>
          <w:lang w:val="en-US" w:eastAsia="zh-CN"/>
        </w:rPr>
        <w:t>19.61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城乡社区支出</w:t>
      </w:r>
      <w:r>
        <w:rPr>
          <w:rFonts w:hint="eastAsia" w:ascii="仿宋_GB2312" w:hAnsi="仿宋_GB2312" w:eastAsia="仿宋_GB2312" w:cs="仿宋_GB2312"/>
          <w:color w:val="000000"/>
          <w:sz w:val="32"/>
          <w:szCs w:val="32"/>
          <w:lang w:val="en-US" w:eastAsia="zh-CN"/>
        </w:rPr>
        <w:t>2.96</w:t>
      </w:r>
      <w:r>
        <w:rPr>
          <w:rFonts w:hint="eastAsia" w:ascii="仿宋_GB2312" w:hAnsi="仿宋_GB2312" w:eastAsia="仿宋_GB2312" w:cs="仿宋_GB2312"/>
          <w:color w:val="000000"/>
          <w:sz w:val="32"/>
          <w:szCs w:val="32"/>
          <w:lang w:eastAsia="zh-CN"/>
        </w:rPr>
        <w:t>万元，占</w:t>
      </w:r>
      <w:r>
        <w:rPr>
          <w:rFonts w:hint="eastAsia" w:ascii="仿宋_GB2312" w:hAnsi="仿宋_GB2312" w:eastAsia="仿宋_GB2312" w:cs="仿宋_GB2312"/>
          <w:color w:val="000000"/>
          <w:sz w:val="32"/>
          <w:szCs w:val="32"/>
          <w:lang w:val="en-US" w:eastAsia="zh-CN"/>
        </w:rPr>
        <w:t>0.35%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农林水支出</w:t>
      </w:r>
      <w:r>
        <w:rPr>
          <w:rFonts w:hint="eastAsia" w:ascii="仿宋_GB2312" w:hAnsi="仿宋_GB2312" w:eastAsia="仿宋_GB2312" w:cs="仿宋_GB2312"/>
          <w:color w:val="000000"/>
          <w:sz w:val="32"/>
          <w:szCs w:val="32"/>
          <w:lang w:val="en-US" w:eastAsia="zh-CN"/>
        </w:rPr>
        <w:t>311.51万元，占36.52%；</w:t>
      </w:r>
      <w:r>
        <w:rPr>
          <w:rFonts w:hint="eastAsia" w:ascii="仿宋_GB2312" w:hAnsi="仿宋_GB2312" w:eastAsia="仿宋_GB2312" w:cs="仿宋_GB2312"/>
          <w:b/>
          <w:bCs/>
          <w:color w:val="000000"/>
          <w:sz w:val="32"/>
          <w:szCs w:val="32"/>
          <w:lang w:val="en-US" w:eastAsia="zh-CN"/>
        </w:rPr>
        <w:t>交通运输支出</w:t>
      </w:r>
      <w:r>
        <w:rPr>
          <w:rFonts w:hint="eastAsia" w:ascii="仿宋_GB2312" w:hAnsi="仿宋_GB2312" w:eastAsia="仿宋_GB2312" w:cs="仿宋_GB2312"/>
          <w:color w:val="000000"/>
          <w:sz w:val="32"/>
          <w:szCs w:val="32"/>
          <w:lang w:val="en-US" w:eastAsia="zh-CN"/>
        </w:rPr>
        <w:t>0.99万元，占0.12%；</w:t>
      </w:r>
      <w:r>
        <w:rPr>
          <w:rFonts w:hint="eastAsia" w:ascii="仿宋_GB2312" w:hAnsi="仿宋_GB2312" w:eastAsia="仿宋_GB2312" w:cs="仿宋_GB2312"/>
          <w:b/>
          <w:bCs/>
          <w:color w:val="000000"/>
          <w:sz w:val="32"/>
          <w:szCs w:val="32"/>
          <w:lang w:val="en-US" w:eastAsia="zh-CN"/>
        </w:rPr>
        <w:t>住房保障支出</w:t>
      </w:r>
      <w:r>
        <w:rPr>
          <w:rFonts w:hint="eastAsia" w:ascii="仿宋_GB2312" w:hAnsi="仿宋_GB2312" w:eastAsia="仿宋_GB2312" w:cs="仿宋_GB2312"/>
          <w:color w:val="000000"/>
          <w:sz w:val="32"/>
          <w:szCs w:val="32"/>
          <w:lang w:val="en-US" w:eastAsia="zh-CN"/>
        </w:rPr>
        <w:t>35.68万元，占4.18%；</w:t>
      </w:r>
      <w:r>
        <w:rPr>
          <w:rFonts w:hint="eastAsia" w:ascii="仿宋_GB2312" w:hAnsi="仿宋_GB2312" w:eastAsia="仿宋_GB2312" w:cs="仿宋_GB2312"/>
          <w:b/>
          <w:bCs/>
          <w:color w:val="000000"/>
          <w:sz w:val="32"/>
          <w:szCs w:val="32"/>
          <w:lang w:val="en-US" w:eastAsia="zh-CN"/>
        </w:rPr>
        <w:t>灾害防治及应急管理支出</w:t>
      </w:r>
      <w:r>
        <w:rPr>
          <w:rFonts w:hint="eastAsia" w:ascii="仿宋_GB2312" w:hAnsi="仿宋_GB2312" w:eastAsia="仿宋_GB2312" w:cs="仿宋_GB2312"/>
          <w:color w:val="000000"/>
          <w:sz w:val="32"/>
          <w:szCs w:val="32"/>
          <w:lang w:val="en-US" w:eastAsia="zh-CN"/>
        </w:rPr>
        <w:t>9.99万元，占1.17%</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852.89</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201</w:t>
      </w:r>
      <w:r>
        <w:rPr>
          <w:rStyle w:val="15"/>
          <w:rFonts w:hint="eastAsia" w:ascii="仿宋" w:hAnsi="仿宋" w:eastAsia="仿宋"/>
          <w:bCs/>
          <w:color w:val="000000"/>
          <w:sz w:val="32"/>
          <w:szCs w:val="32"/>
          <w:lang w:eastAsia="zh-CN"/>
        </w:rPr>
        <w:t>政府办公厅及相关机构事务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03</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254.79万</w:t>
      </w:r>
      <w:r>
        <w:rPr>
          <w:rStyle w:val="15"/>
          <w:rFonts w:hint="eastAsia" w:ascii="仿宋" w:hAnsi="仿宋" w:eastAsia="仿宋"/>
          <w:b w:val="0"/>
          <w:bCs/>
          <w:color w:val="000000"/>
          <w:sz w:val="32"/>
          <w:szCs w:val="32"/>
        </w:rPr>
        <w:t>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201</w:t>
      </w:r>
      <w:r>
        <w:rPr>
          <w:rStyle w:val="15"/>
          <w:rFonts w:hint="eastAsia" w:ascii="仿宋" w:hAnsi="仿宋" w:eastAsia="仿宋"/>
          <w:bCs/>
          <w:color w:val="000000"/>
          <w:sz w:val="32"/>
          <w:szCs w:val="32"/>
          <w:lang w:eastAsia="zh-CN"/>
        </w:rPr>
        <w:t>政府办公厅及相关机构事务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03</w:t>
      </w:r>
      <w:r>
        <w:rPr>
          <w:rStyle w:val="15"/>
          <w:rFonts w:hint="eastAsia" w:ascii="仿宋" w:hAnsi="仿宋" w:eastAsia="仿宋"/>
          <w:bCs/>
          <w:color w:val="000000"/>
          <w:sz w:val="32"/>
          <w:szCs w:val="32"/>
          <w:lang w:eastAsia="zh-CN"/>
        </w:rPr>
        <w:t>一般行政管理事务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02</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5.81万</w:t>
      </w:r>
      <w:r>
        <w:rPr>
          <w:rStyle w:val="15"/>
          <w:rFonts w:hint="eastAsia" w:ascii="仿宋" w:hAnsi="仿宋" w:eastAsia="仿宋"/>
          <w:b w:val="0"/>
          <w:bCs/>
          <w:color w:val="000000"/>
          <w:sz w:val="32"/>
          <w:szCs w:val="32"/>
        </w:rPr>
        <w:t>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201</w:t>
      </w:r>
      <w:r>
        <w:rPr>
          <w:rStyle w:val="15"/>
          <w:rFonts w:hint="eastAsia" w:ascii="仿宋" w:hAnsi="仿宋" w:eastAsia="仿宋"/>
          <w:bCs/>
          <w:color w:val="000000"/>
          <w:sz w:val="32"/>
          <w:szCs w:val="32"/>
          <w:lang w:eastAsia="zh-CN"/>
        </w:rPr>
        <w:t>政府办公厅及相关机构事务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03</w:t>
      </w:r>
      <w:r>
        <w:rPr>
          <w:rStyle w:val="15"/>
          <w:rFonts w:hint="eastAsia" w:ascii="仿宋" w:hAnsi="仿宋" w:eastAsia="仿宋"/>
          <w:bCs/>
          <w:color w:val="000000"/>
          <w:sz w:val="32"/>
          <w:szCs w:val="32"/>
          <w:lang w:eastAsia="zh-CN"/>
        </w:rPr>
        <w:t>法制建设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05</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1.93万</w:t>
      </w:r>
      <w:r>
        <w:rPr>
          <w:rStyle w:val="15"/>
          <w:rFonts w:hint="eastAsia" w:ascii="仿宋" w:hAnsi="仿宋" w:eastAsia="仿宋"/>
          <w:b w:val="0"/>
          <w:bCs/>
          <w:color w:val="000000"/>
          <w:sz w:val="32"/>
          <w:szCs w:val="32"/>
        </w:rPr>
        <w:t>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201</w:t>
      </w:r>
      <w:r>
        <w:rPr>
          <w:rStyle w:val="15"/>
          <w:rFonts w:hint="eastAsia" w:ascii="仿宋" w:hAnsi="仿宋" w:eastAsia="仿宋"/>
          <w:bCs/>
          <w:color w:val="000000"/>
          <w:sz w:val="32"/>
          <w:szCs w:val="32"/>
          <w:lang w:eastAsia="zh-CN"/>
        </w:rPr>
        <w:t>发展与改革事务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04</w:t>
      </w:r>
      <w:r>
        <w:rPr>
          <w:rStyle w:val="15"/>
          <w:rFonts w:hint="eastAsia" w:ascii="仿宋" w:hAnsi="仿宋" w:eastAsia="仿宋"/>
          <w:bCs/>
          <w:color w:val="000000"/>
          <w:sz w:val="32"/>
          <w:szCs w:val="32"/>
          <w:lang w:eastAsia="zh-CN"/>
        </w:rPr>
        <w:t>日常经济运行调节</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05</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32.89万</w:t>
      </w:r>
      <w:r>
        <w:rPr>
          <w:rStyle w:val="15"/>
          <w:rFonts w:hint="eastAsia" w:ascii="仿宋" w:hAnsi="仿宋" w:eastAsia="仿宋"/>
          <w:b w:val="0"/>
          <w:bCs/>
          <w:color w:val="000000"/>
          <w:sz w:val="32"/>
          <w:szCs w:val="32"/>
        </w:rPr>
        <w:t>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201纪检监察事务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11</w:t>
      </w:r>
      <w:r>
        <w:rPr>
          <w:rStyle w:val="15"/>
          <w:rFonts w:hint="eastAsia" w:ascii="仿宋" w:hAnsi="仿宋" w:eastAsia="仿宋"/>
          <w:bCs/>
          <w:color w:val="000000"/>
          <w:sz w:val="32"/>
          <w:szCs w:val="32"/>
          <w:lang w:eastAsia="zh-CN"/>
        </w:rPr>
        <w:t>一般行政管理事务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02</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1.98万</w:t>
      </w:r>
      <w:r>
        <w:rPr>
          <w:rStyle w:val="15"/>
          <w:rFonts w:hint="eastAsia" w:ascii="仿宋" w:hAnsi="仿宋" w:eastAsia="仿宋"/>
          <w:b w:val="0"/>
          <w:bCs/>
          <w:color w:val="000000"/>
          <w:sz w:val="32"/>
          <w:szCs w:val="32"/>
        </w:rPr>
        <w:t>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201</w:t>
      </w:r>
      <w:r>
        <w:rPr>
          <w:rStyle w:val="15"/>
          <w:rFonts w:hint="eastAsia" w:ascii="仿宋" w:hAnsi="仿宋" w:eastAsia="仿宋"/>
          <w:bCs/>
          <w:color w:val="000000"/>
          <w:sz w:val="32"/>
          <w:szCs w:val="32"/>
          <w:lang w:eastAsia="zh-CN"/>
        </w:rPr>
        <w:t>组织事务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32</w:t>
      </w:r>
      <w:r>
        <w:rPr>
          <w:rStyle w:val="15"/>
          <w:rFonts w:hint="eastAsia" w:ascii="仿宋" w:hAnsi="仿宋" w:eastAsia="仿宋"/>
          <w:bCs/>
          <w:color w:val="000000"/>
          <w:sz w:val="32"/>
          <w:szCs w:val="32"/>
          <w:lang w:eastAsia="zh-CN"/>
        </w:rPr>
        <w:t>一般行政管理事务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02</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4.9万</w:t>
      </w:r>
      <w:r>
        <w:rPr>
          <w:rStyle w:val="15"/>
          <w:rFonts w:hint="eastAsia" w:ascii="仿宋" w:hAnsi="仿宋" w:eastAsia="仿宋"/>
          <w:b w:val="0"/>
          <w:bCs/>
          <w:color w:val="000000"/>
          <w:sz w:val="32"/>
          <w:szCs w:val="32"/>
        </w:rPr>
        <w:t>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201</w:t>
      </w:r>
      <w:r>
        <w:rPr>
          <w:rStyle w:val="15"/>
          <w:rFonts w:hint="eastAsia" w:ascii="仿宋" w:hAnsi="仿宋" w:eastAsia="仿宋"/>
          <w:bCs/>
          <w:color w:val="000000"/>
          <w:sz w:val="32"/>
          <w:szCs w:val="32"/>
          <w:lang w:eastAsia="zh-CN"/>
        </w:rPr>
        <w:t>市场监督管理事务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38</w:t>
      </w:r>
      <w:r>
        <w:rPr>
          <w:rStyle w:val="15"/>
          <w:rFonts w:hint="eastAsia" w:ascii="仿宋" w:hAnsi="仿宋" w:eastAsia="仿宋"/>
          <w:bCs/>
          <w:color w:val="000000"/>
          <w:sz w:val="32"/>
          <w:szCs w:val="32"/>
          <w:lang w:eastAsia="zh-CN"/>
        </w:rPr>
        <w:t>市场监督管理专项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04</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3.66万</w:t>
      </w:r>
      <w:r>
        <w:rPr>
          <w:rStyle w:val="15"/>
          <w:rFonts w:hint="eastAsia" w:ascii="仿宋" w:hAnsi="仿宋" w:eastAsia="仿宋"/>
          <w:b w:val="0"/>
          <w:bCs/>
          <w:color w:val="000000"/>
          <w:sz w:val="32"/>
          <w:szCs w:val="32"/>
        </w:rPr>
        <w:t>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201</w:t>
      </w:r>
      <w:r>
        <w:rPr>
          <w:rStyle w:val="15"/>
          <w:rFonts w:hint="eastAsia" w:ascii="仿宋" w:hAnsi="仿宋" w:eastAsia="仿宋"/>
          <w:bCs/>
          <w:color w:val="000000"/>
          <w:sz w:val="32"/>
          <w:szCs w:val="32"/>
          <w:lang w:eastAsia="zh-CN"/>
        </w:rPr>
        <w:t>其他一般公共服务支出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99</w:t>
      </w:r>
      <w:r>
        <w:rPr>
          <w:rStyle w:val="15"/>
          <w:rFonts w:hint="eastAsia" w:ascii="仿宋" w:hAnsi="仿宋" w:eastAsia="仿宋"/>
          <w:bCs/>
          <w:color w:val="000000"/>
          <w:sz w:val="32"/>
          <w:szCs w:val="32"/>
          <w:lang w:eastAsia="zh-CN"/>
        </w:rPr>
        <w:t>其他一般公共服务支出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项</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99</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123.08万</w:t>
      </w:r>
      <w:r>
        <w:rPr>
          <w:rStyle w:val="15"/>
          <w:rFonts w:hint="eastAsia" w:ascii="仿宋" w:hAnsi="仿宋" w:eastAsia="仿宋"/>
          <w:b w:val="0"/>
          <w:bCs/>
          <w:color w:val="000000"/>
          <w:sz w:val="32"/>
          <w:szCs w:val="32"/>
        </w:rPr>
        <w:t>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2.</w:t>
      </w:r>
      <w:r>
        <w:rPr>
          <w:rStyle w:val="15"/>
          <w:rFonts w:hint="eastAsia" w:ascii="仿宋" w:hAnsi="仿宋" w:eastAsia="仿宋"/>
          <w:bCs/>
          <w:color w:val="000000"/>
          <w:sz w:val="32"/>
          <w:szCs w:val="32"/>
          <w:lang w:eastAsia="zh-CN"/>
        </w:rPr>
        <w:t>公共安全支出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204</w:t>
      </w:r>
      <w:r>
        <w:rPr>
          <w:rStyle w:val="15"/>
          <w:rFonts w:hint="eastAsia" w:ascii="仿宋" w:hAnsi="仿宋" w:eastAsia="仿宋"/>
          <w:bCs/>
          <w:color w:val="000000"/>
          <w:sz w:val="32"/>
          <w:szCs w:val="32"/>
          <w:lang w:eastAsia="zh-CN"/>
        </w:rPr>
        <w:t>国家安全</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03</w:t>
      </w:r>
      <w:r>
        <w:rPr>
          <w:rStyle w:val="15"/>
          <w:rFonts w:hint="eastAsia" w:ascii="仿宋" w:hAnsi="仿宋" w:eastAsia="仿宋"/>
          <w:bCs/>
          <w:color w:val="000000"/>
          <w:sz w:val="32"/>
          <w:szCs w:val="32"/>
          <w:lang w:eastAsia="zh-CN"/>
        </w:rPr>
        <w:t>其他国家安全支出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99</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5.99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3.</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val="en-US" w:eastAsia="zh-CN"/>
        </w:rPr>
        <w:t>208</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05行政单位离退休</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8.68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val="en-US" w:eastAsia="zh-CN"/>
        </w:rPr>
        <w:t>208</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05</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06</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27.38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val="en-US" w:eastAsia="zh-CN"/>
        </w:rPr>
        <w:t>208</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05</w:t>
      </w:r>
      <w:r>
        <w:rPr>
          <w:rStyle w:val="15"/>
          <w:rFonts w:hint="eastAsia" w:ascii="仿宋" w:hAnsi="仿宋" w:eastAsia="仿宋"/>
          <w:bCs/>
          <w:color w:val="000000"/>
          <w:sz w:val="32"/>
          <w:szCs w:val="32"/>
          <w:lang w:eastAsia="zh-CN"/>
        </w:rPr>
        <w:t>机关事业单位职业年金缴费支出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06</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2"/>
        </w:num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卫生</w:t>
      </w:r>
      <w:r>
        <w:rPr>
          <w:rStyle w:val="15"/>
          <w:rFonts w:hint="eastAsia" w:ascii="仿宋" w:hAnsi="仿宋" w:eastAsia="仿宋"/>
          <w:bCs/>
          <w:color w:val="000000"/>
          <w:sz w:val="32"/>
          <w:szCs w:val="32"/>
          <w:lang w:eastAsia="zh-CN"/>
        </w:rPr>
        <w:t>健康支出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210公共卫生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04</w:t>
      </w:r>
      <w:r>
        <w:rPr>
          <w:rStyle w:val="15"/>
          <w:rFonts w:hint="eastAsia" w:ascii="仿宋" w:hAnsi="仿宋" w:eastAsia="仿宋"/>
          <w:bCs/>
          <w:color w:val="000000"/>
          <w:sz w:val="32"/>
          <w:szCs w:val="32"/>
          <w:lang w:eastAsia="zh-CN"/>
        </w:rPr>
        <w:t>重大公共卫生服务</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09</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6.66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卫生</w:t>
      </w:r>
      <w:r>
        <w:rPr>
          <w:rStyle w:val="15"/>
          <w:rFonts w:hint="eastAsia" w:ascii="仿宋" w:hAnsi="仿宋" w:eastAsia="仿宋"/>
          <w:bCs/>
          <w:color w:val="000000"/>
          <w:sz w:val="32"/>
          <w:szCs w:val="32"/>
          <w:lang w:eastAsia="zh-CN"/>
        </w:rPr>
        <w:t>健康支出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210行政事业单位医疗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11</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12.95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000000"/>
          <w:sz w:val="32"/>
          <w:szCs w:val="32"/>
          <w:lang w:val="en-US" w:eastAsia="zh-CN"/>
        </w:rPr>
        <w:t>5.</w:t>
      </w:r>
      <w:r>
        <w:rPr>
          <w:rStyle w:val="15"/>
          <w:rFonts w:hint="eastAsia" w:ascii="仿宋" w:hAnsi="仿宋" w:eastAsia="仿宋"/>
          <w:bCs/>
          <w:color w:val="000000"/>
          <w:sz w:val="32"/>
          <w:szCs w:val="32"/>
          <w:lang w:eastAsia="zh-CN"/>
        </w:rPr>
        <w:t>城乡社区支出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212城乡社区环境卫生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05城城乡社区环境卫生</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2.96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rPr>
          <w:rFonts w:hint="eastAsia" w:ascii="仿宋" w:hAnsi="仿宋" w:eastAsia="仿宋"/>
          <w:b/>
          <w:color w:val="000000"/>
          <w:sz w:val="32"/>
          <w:szCs w:val="32"/>
        </w:rPr>
      </w:pPr>
      <w:r>
        <w:rPr>
          <w:rStyle w:val="15"/>
          <w:rFonts w:hint="eastAsia" w:ascii="仿宋" w:hAnsi="仿宋" w:eastAsia="仿宋"/>
          <w:bCs/>
          <w:color w:val="000000"/>
          <w:sz w:val="32"/>
          <w:szCs w:val="32"/>
          <w:lang w:val="en-US" w:eastAsia="zh-CN"/>
        </w:rPr>
        <w:t>6.</w:t>
      </w:r>
      <w:r>
        <w:rPr>
          <w:rStyle w:val="15"/>
          <w:rFonts w:hint="eastAsia" w:ascii="仿宋" w:hAnsi="仿宋" w:eastAsia="仿宋"/>
          <w:bCs/>
          <w:color w:val="000000"/>
          <w:sz w:val="32"/>
          <w:szCs w:val="32"/>
          <w:lang w:eastAsia="zh-CN"/>
        </w:rPr>
        <w:t>农林水支出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213农业</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01病虫害防治</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08</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rPr>
          <w:rFonts w:hint="eastAsia" w:ascii="仿宋" w:hAnsi="仿宋" w:eastAsia="仿宋"/>
          <w:b/>
          <w:color w:val="000000"/>
          <w:sz w:val="32"/>
          <w:szCs w:val="32"/>
        </w:rPr>
      </w:pPr>
      <w:r>
        <w:rPr>
          <w:rStyle w:val="15"/>
          <w:rFonts w:hint="eastAsia" w:ascii="仿宋" w:hAnsi="仿宋" w:eastAsia="仿宋"/>
          <w:bCs/>
          <w:color w:val="000000"/>
          <w:sz w:val="32"/>
          <w:szCs w:val="32"/>
          <w:lang w:eastAsia="zh-CN"/>
        </w:rPr>
        <w:t>农林水支出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213林业和草原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02防灾减灾</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34</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eastAsia="zh-CN"/>
        </w:rPr>
        <w:t>农林水支出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213水利</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03防汛</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14</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16.85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eastAsia="zh-CN"/>
        </w:rPr>
        <w:t>农林水支出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213水利</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03农村水利</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16</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hint="eastAsia" w:ascii="仿宋" w:hAnsi="仿宋" w:eastAsia="仿宋"/>
          <w:b/>
          <w:color w:val="000000"/>
          <w:sz w:val="32"/>
          <w:szCs w:val="32"/>
        </w:rPr>
      </w:pPr>
      <w:r>
        <w:rPr>
          <w:rStyle w:val="15"/>
          <w:rFonts w:hint="eastAsia" w:ascii="仿宋" w:hAnsi="仿宋" w:eastAsia="仿宋"/>
          <w:bCs/>
          <w:color w:val="000000"/>
          <w:sz w:val="32"/>
          <w:szCs w:val="32"/>
          <w:lang w:eastAsia="zh-CN"/>
        </w:rPr>
        <w:t>农林水支出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213农村综合改革</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07对村民委员会和党支部的补助</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05</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269.66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hint="eastAsia" w:ascii="仿宋" w:hAnsi="仿宋" w:eastAsia="仿宋"/>
          <w:b/>
          <w:color w:val="000000"/>
          <w:sz w:val="32"/>
          <w:szCs w:val="32"/>
        </w:rPr>
      </w:pPr>
      <w:r>
        <w:rPr>
          <w:rStyle w:val="15"/>
          <w:rFonts w:hint="eastAsia" w:ascii="仿宋" w:hAnsi="仿宋" w:eastAsia="仿宋"/>
          <w:bCs/>
          <w:color w:val="000000"/>
          <w:sz w:val="32"/>
          <w:szCs w:val="32"/>
          <w:lang w:val="en-US" w:eastAsia="zh-CN"/>
        </w:rPr>
        <w:t>7.</w:t>
      </w:r>
      <w:r>
        <w:rPr>
          <w:rStyle w:val="15"/>
          <w:rFonts w:hint="eastAsia" w:ascii="仿宋" w:hAnsi="仿宋" w:eastAsia="仿宋"/>
          <w:bCs/>
          <w:color w:val="000000"/>
          <w:sz w:val="32"/>
          <w:szCs w:val="32"/>
          <w:lang w:eastAsia="zh-CN"/>
        </w:rPr>
        <w:t>交通运输支出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214公路水路运输</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01公路和运输安全</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10</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0.99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8.</w:t>
      </w:r>
      <w:r>
        <w:rPr>
          <w:rStyle w:val="15"/>
          <w:rFonts w:hint="eastAsia" w:ascii="仿宋" w:hAnsi="仿宋" w:eastAsia="仿宋"/>
          <w:bCs/>
          <w:color w:val="000000"/>
          <w:sz w:val="32"/>
          <w:szCs w:val="32"/>
          <w:lang w:eastAsia="zh-CN"/>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221住房改革支出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02公住房公积金</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35.68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rPr>
          <w:rStyle w:val="15"/>
          <w:rFonts w:hint="eastAsia" w:ascii="仿宋" w:hAnsi="仿宋" w:eastAsia="仿宋"/>
          <w:bCs/>
          <w:color w:val="000000"/>
          <w:sz w:val="32"/>
          <w:szCs w:val="32"/>
          <w:lang w:val="en-US" w:eastAsia="zh-CN"/>
        </w:rPr>
      </w:pPr>
      <w:r>
        <w:rPr>
          <w:rStyle w:val="15"/>
          <w:rFonts w:hint="eastAsia" w:ascii="仿宋" w:hAnsi="仿宋" w:eastAsia="仿宋"/>
          <w:bCs/>
          <w:color w:val="000000"/>
          <w:sz w:val="32"/>
          <w:szCs w:val="32"/>
          <w:lang w:val="en-US" w:eastAsia="zh-CN"/>
        </w:rPr>
        <w:t>9.</w:t>
      </w:r>
      <w:r>
        <w:rPr>
          <w:rStyle w:val="15"/>
          <w:rFonts w:hint="eastAsia" w:ascii="仿宋" w:hAnsi="仿宋" w:eastAsia="仿宋"/>
          <w:bCs/>
          <w:color w:val="000000"/>
          <w:sz w:val="32"/>
          <w:szCs w:val="32"/>
          <w:lang w:eastAsia="zh-CN"/>
        </w:rPr>
        <w:t>灾害防治及应急管理支出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224应急管理事务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01一般行政管理事务</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val="en-US" w:eastAsia="zh-CN"/>
        </w:rPr>
        <w:t>02</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eastAsia="zh-CN"/>
        </w:rPr>
        <w:t>灾害防治及应急管理支出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224自然灾害防治</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06其他自然灾害防治支出（项）99</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5.99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eastAsia="zh-CN"/>
        </w:rPr>
        <w:t>灾害防治及应急管理支出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224自然灾害救灾及恢复重建支出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07自然灾害救灾补助（项）03</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tabs>
          <w:tab w:val="right" w:pos="8306"/>
        </w:tabs>
        <w:spacing w:line="600" w:lineRule="exact"/>
        <w:ind w:firstLine="640" w:firstLineChars="20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410.21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286.45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123.76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0.19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bookmarkStart w:id="72" w:name="_GoBack"/>
      <w:bookmarkEnd w:id="72"/>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1、</w:t>
      </w:r>
      <w:r>
        <w:rPr>
          <w:rStyle w:val="15"/>
          <w:rFonts w:hint="eastAsia" w:ascii="仿宋" w:hAnsi="仿宋" w:eastAsia="仿宋"/>
          <w:b w:val="0"/>
          <w:bCs/>
          <w:color w:val="000000"/>
          <w:sz w:val="32"/>
          <w:szCs w:val="32"/>
        </w:rPr>
        <w:t>因公出国（境）经费支出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万元，年初未安排预算，因公出国（境）经费支出较2019年无变化。</w:t>
      </w:r>
    </w:p>
    <w:p>
      <w:pPr>
        <w:spacing w:line="600" w:lineRule="exact"/>
        <w:ind w:firstLine="640"/>
        <w:rPr>
          <w:rFonts w:hint="eastAsia" w:ascii="仿宋_GB2312" w:eastAsia="仿宋_GB2312"/>
          <w:color w:val="000000"/>
          <w:sz w:val="32"/>
          <w:szCs w:val="32"/>
          <w:lang w:eastAsia="zh-CN"/>
        </w:rPr>
      </w:pPr>
      <w:r>
        <w:rPr>
          <w:rStyle w:val="15"/>
          <w:rFonts w:hint="eastAsia" w:ascii="仿宋" w:hAnsi="仿宋" w:eastAsia="仿宋"/>
          <w:b w:val="0"/>
          <w:bCs/>
          <w:color w:val="000000"/>
          <w:sz w:val="32"/>
          <w:szCs w:val="32"/>
        </w:rPr>
        <w:t>2.公务用车购置及运行维护费支出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 w:hAnsi="仿宋" w:eastAsia="仿宋"/>
          <w:color w:val="000000"/>
          <w:sz w:val="32"/>
          <w:szCs w:val="32"/>
          <w:lang w:eastAsia="zh-CN"/>
        </w:rPr>
        <w:t>年初预算未安排，较</w:t>
      </w:r>
      <w:r>
        <w:rPr>
          <w:rFonts w:hint="eastAsia" w:ascii="仿宋" w:hAnsi="仿宋" w:eastAsia="仿宋"/>
          <w:color w:val="000000"/>
          <w:sz w:val="32"/>
          <w:szCs w:val="32"/>
          <w:lang w:val="en-US" w:eastAsia="zh-CN"/>
        </w:rPr>
        <w:t>2019年无变化。本年无公务用车购置，截至2020年12月，单位共有公务用车0辆。</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公务接待费支出</w:t>
      </w:r>
      <w:r>
        <w:rPr>
          <w:rFonts w:hint="eastAsia" w:ascii="仿宋_GB2312" w:eastAsia="仿宋_GB2312"/>
          <w:color w:val="000000"/>
          <w:sz w:val="32"/>
          <w:szCs w:val="32"/>
          <w:lang w:val="en-US" w:eastAsia="zh-CN"/>
        </w:rPr>
        <w:t>0.19</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0.01</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接待人数增加。</w:t>
      </w:r>
      <w:r>
        <w:rPr>
          <w:rFonts w:hint="eastAsia" w:ascii="仿宋" w:hAnsi="仿宋" w:eastAsia="仿宋"/>
          <w:color w:val="000000"/>
          <w:sz w:val="32"/>
          <w:szCs w:val="32"/>
        </w:rPr>
        <w:t>其中：国内公务接待支出</w:t>
      </w:r>
      <w:r>
        <w:rPr>
          <w:rFonts w:hint="eastAsia" w:ascii="仿宋" w:hAnsi="仿宋" w:eastAsia="仿宋"/>
          <w:color w:val="000000"/>
          <w:sz w:val="32"/>
          <w:szCs w:val="32"/>
          <w:lang w:val="en-US" w:eastAsia="zh-CN"/>
        </w:rPr>
        <w:t>0.19</w:t>
      </w:r>
      <w:r>
        <w:rPr>
          <w:rFonts w:hint="eastAsia" w:ascii="仿宋" w:hAnsi="仿宋" w:eastAsia="仿宋"/>
          <w:color w:val="000000"/>
          <w:sz w:val="32"/>
          <w:szCs w:val="32"/>
        </w:rPr>
        <w:t>万元，主要用于</w:t>
      </w:r>
      <w:r>
        <w:rPr>
          <w:rFonts w:hint="eastAsia" w:ascii="仿宋" w:hAnsi="仿宋" w:eastAsia="仿宋"/>
          <w:color w:val="000000"/>
          <w:sz w:val="32"/>
          <w:szCs w:val="32"/>
          <w:lang w:eastAsia="zh-CN"/>
        </w:rPr>
        <w:t>迎接脱贫攻坚检查工作为检查人员提供午餐的用餐费用，</w:t>
      </w:r>
      <w:r>
        <w:rPr>
          <w:rFonts w:hint="eastAsia" w:ascii="仿宋" w:hAnsi="仿宋" w:eastAsia="仿宋"/>
          <w:color w:val="000000"/>
          <w:sz w:val="32"/>
          <w:szCs w:val="32"/>
        </w:rPr>
        <w:t>国内公务接待</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0.19</w:t>
      </w:r>
      <w:r>
        <w:rPr>
          <w:rFonts w:hint="eastAsia" w:ascii="仿宋" w:hAnsi="仿宋" w:eastAsia="仿宋"/>
          <w:color w:val="000000"/>
          <w:sz w:val="32"/>
          <w:szCs w:val="32"/>
        </w:rPr>
        <w:t>万元。外事接待支出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万元，外事接待</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批次</w:t>
      </w:r>
      <w:bookmarkStart w:id="46" w:name="_Toc15396610"/>
      <w:bookmarkStart w:id="47" w:name="_Toc15377218"/>
      <w:r>
        <w:rPr>
          <w:rFonts w:hint="eastAsia" w:ascii="仿宋" w:hAnsi="仿宋" w:eastAsia="仿宋"/>
          <w:color w:val="000000"/>
          <w:sz w:val="32"/>
          <w:szCs w:val="32"/>
          <w:lang w:eastAsia="zh-CN"/>
        </w:rPr>
        <w:t>。</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hint="default" w:ascii="仿宋_GB2312" w:eastAsia="仿宋_GB2312"/>
          <w:color w:val="000000"/>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bookmarkStart w:id="53" w:name="_Toc15377223"/>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247.05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190.94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164</w:t>
      </w:r>
      <w:r>
        <w:rPr>
          <w:rFonts w:ascii="仿宋_GB2312" w:eastAsia="仿宋_GB2312"/>
          <w:color w:val="000000"/>
          <w:sz w:val="32"/>
          <w:szCs w:val="32"/>
        </w:rPr>
        <w:t>%</w:t>
      </w:r>
      <w:r>
        <w:rPr>
          <w:rFonts w:hint="eastAsia" w:ascii="仿宋_GB2312" w:eastAsia="仿宋_GB2312"/>
          <w:color w:val="000000"/>
          <w:sz w:val="32"/>
          <w:szCs w:val="32"/>
          <w:lang w:val="en-US" w:eastAsia="zh-CN"/>
        </w:rPr>
        <w:t>,主要原因是项目调整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spacing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9.3</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街道购买会议用电视机、服务器设备及街道其他工作购买所需电脑、复印机等</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pStyle w:val="2"/>
        <w:ind w:left="0" w:leftChars="0" w:firstLine="640" w:firstLineChars="200"/>
        <w:rPr>
          <w:rFonts w:hint="eastAsia"/>
        </w:rPr>
      </w:pPr>
      <w:r>
        <w:rPr>
          <w:rFonts w:hint="eastAsia" w:ascii="仿宋" w:hAnsi="仿宋" w:eastAsia="仿宋"/>
          <w:color w:val="000000"/>
          <w:sz w:val="32"/>
          <w:szCs w:val="32"/>
        </w:rPr>
        <w:t>截至</w:t>
      </w:r>
      <w:r>
        <w:rPr>
          <w:rFonts w:ascii="仿宋" w:hAnsi="仿宋" w:eastAsia="仿宋"/>
          <w:color w:val="000000"/>
          <w:sz w:val="32"/>
          <w:szCs w:val="32"/>
        </w:rPr>
        <w:t>2020</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w:t>
      </w:r>
      <w:r>
        <w:rPr>
          <w:rFonts w:hint="eastAsia" w:ascii="仿宋" w:hAnsi="仿宋" w:eastAsia="仿宋"/>
          <w:color w:val="000000"/>
          <w:sz w:val="32"/>
          <w:szCs w:val="32"/>
          <w:lang w:eastAsia="zh-CN"/>
        </w:rPr>
        <w:t>街道无</w:t>
      </w:r>
      <w:r>
        <w:rPr>
          <w:rFonts w:hint="eastAsia" w:ascii="仿宋" w:hAnsi="仿宋" w:eastAsia="仿宋"/>
          <w:color w:val="000000"/>
          <w:sz w:val="32"/>
          <w:szCs w:val="32"/>
        </w:rPr>
        <w:t>车辆，单价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p>
    <w:p>
      <w:pPr>
        <w:pStyle w:val="2"/>
        <w:ind w:left="0" w:leftChars="0" w:firstLine="0" w:firstLineChars="0"/>
        <w:rPr>
          <w:rFonts w:hint="eastAsia" w:ascii="仿宋" w:hAnsi="仿宋" w:eastAsia="仿宋"/>
          <w:b/>
          <w:color w:val="FF0000"/>
          <w:sz w:val="32"/>
          <w:szCs w:val="32"/>
        </w:rPr>
      </w:pPr>
    </w:p>
    <w:p>
      <w:pPr>
        <w:rPr>
          <w:rFonts w:hint="eastAsia" w:ascii="仿宋" w:hAnsi="仿宋" w:eastAsia="仿宋"/>
          <w:b/>
          <w:color w:val="FF0000"/>
          <w:sz w:val="32"/>
          <w:szCs w:val="32"/>
        </w:rPr>
      </w:pPr>
    </w:p>
    <w:p>
      <w:pPr>
        <w:pStyle w:val="2"/>
        <w:rPr>
          <w:rFonts w:hint="eastAsia"/>
        </w:rPr>
      </w:pPr>
    </w:p>
    <w:p>
      <w:pPr>
        <w:numPr>
          <w:ilvl w:val="0"/>
          <w:numId w:val="4"/>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pStyle w:val="2"/>
      </w:pPr>
    </w:p>
    <w:p>
      <w:pPr>
        <w:pStyle w:val="23"/>
        <w:spacing w:line="560" w:lineRule="exact"/>
        <w:ind w:firstLine="640" w:firstLineChars="200"/>
        <w:rPr>
          <w:rFonts w:hint="eastAsia" w:ascii="仿宋_GB2312" w:eastAsia="仿宋_GB2312"/>
          <w:sz w:val="32"/>
          <w:szCs w:val="32"/>
        </w:rPr>
      </w:pPr>
      <w:bookmarkStart w:id="57" w:name="_Toc15377226"/>
      <w:r>
        <w:rPr>
          <w:rFonts w:hint="eastAsia" w:ascii="仿宋_GB2312" w:eastAsia="仿宋_GB2312"/>
          <w:sz w:val="32"/>
          <w:szCs w:val="32"/>
        </w:rPr>
        <w:t>1.财政拨款收入：指单位从同级财政部门取得的财政预算资金。</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keepNext w:val="0"/>
        <w:keepLines w:val="0"/>
        <w:widowControl/>
        <w:suppressLineNumbers w:val="0"/>
        <w:ind w:firstLine="640" w:firstLineChars="200"/>
        <w:jc w:val="left"/>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lang w:val="en-US" w:eastAsia="zh-CN" w:bidi="ar"/>
        </w:rPr>
        <w:t>一般公共服务支出（类）201政府办公厅（室）及相关机构事务（款）03行政运行（项）01：指反映行政单位（包括实行公务员管理的事业单位）的基本支出。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lang w:val="en-US" w:eastAsia="zh-CN"/>
        </w:rPr>
        <w:t>专项业务活动</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：指反映各级政府</w:t>
      </w:r>
      <w:r>
        <w:rPr>
          <w:rFonts w:hint="eastAsia" w:ascii="仿宋_GB2312" w:eastAsia="仿宋_GB2312"/>
          <w:color w:val="000000"/>
          <w:sz w:val="32"/>
          <w:szCs w:val="32"/>
          <w:lang w:val="en-US" w:eastAsia="zh-CN"/>
        </w:rPr>
        <w:t>举行各类重大活动、召开重要会议（如国务院一类会议、国庆招待会、全国劳模大会）的支出，政府机关房地产管理、公文用车管理等方面</w:t>
      </w:r>
      <w:r>
        <w:rPr>
          <w:rFonts w:hint="eastAsia" w:ascii="仿宋_GB2312" w:eastAsia="仿宋_GB2312"/>
          <w:color w:val="000000"/>
          <w:sz w:val="32"/>
          <w:szCs w:val="32"/>
        </w:rPr>
        <w:t>的支出。</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 发展与改革事务（款）04日常经济运行调节</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auto"/>
          <w:sz w:val="32"/>
          <w:szCs w:val="32"/>
        </w:rPr>
        <w:t>：</w:t>
      </w:r>
      <w:r>
        <w:rPr>
          <w:rFonts w:hint="eastAsia" w:ascii="仿宋_GB2312" w:eastAsia="仿宋_GB2312"/>
          <w:color w:val="auto"/>
          <w:sz w:val="32"/>
          <w:szCs w:val="32"/>
          <w:lang w:eastAsia="zh-CN"/>
        </w:rPr>
        <w:t>反映日常经济运行调节方面的支出。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5"/>
          <w:rFonts w:hint="eastAsia" w:ascii="仿宋_GB2312" w:eastAsia="仿宋_GB2312"/>
          <w:b w:val="0"/>
          <w:bCs w:val="0"/>
          <w:color w:val="000000"/>
          <w:sz w:val="32"/>
          <w:szCs w:val="32"/>
          <w:lang w:val="en-US" w:eastAsia="zh-CN"/>
        </w:rPr>
      </w:pPr>
      <w:r>
        <w:rPr>
          <w:rFonts w:hint="eastAsia" w:ascii="仿宋_GB2312" w:eastAsia="仿宋_GB2312"/>
          <w:color w:val="auto"/>
          <w:sz w:val="32"/>
          <w:szCs w:val="32"/>
          <w:lang w:val="en-US" w:eastAsia="zh-CN"/>
        </w:rPr>
        <w:t xml:space="preserve">9. </w:t>
      </w:r>
      <w:r>
        <w:rPr>
          <w:rFonts w:hint="eastAsia" w:ascii="仿宋_GB2312" w:hAnsi="仿宋_GB2312" w:eastAsia="仿宋_GB2312" w:cs="仿宋_GB2312"/>
          <w:kern w:val="0"/>
          <w:sz w:val="32"/>
          <w:szCs w:val="32"/>
          <w:lang w:val="en-US" w:eastAsia="zh-CN" w:bidi="ar"/>
        </w:rPr>
        <w:t>一般公共服务支出（类）201纪检监察事务（款）11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一般行政管理事务（项）02</w:t>
      </w:r>
      <w:r>
        <w:rPr>
          <w:rStyle w:val="15"/>
          <w:rFonts w:hint="eastAsia" w:ascii="仿宋_GB2312" w:eastAsia="仿宋_GB2312"/>
          <w:b w:val="0"/>
          <w:bCs w:val="0"/>
          <w:color w:val="000000"/>
          <w:sz w:val="32"/>
          <w:szCs w:val="32"/>
        </w:rPr>
        <w:t>：</w:t>
      </w:r>
      <w:r>
        <w:rPr>
          <w:rStyle w:val="15"/>
          <w:rFonts w:hint="eastAsia" w:ascii="仿宋_GB2312" w:eastAsia="仿宋_GB2312"/>
          <w:b w:val="0"/>
          <w:bCs w:val="0"/>
          <w:color w:val="000000"/>
          <w:sz w:val="32"/>
          <w:szCs w:val="32"/>
          <w:lang w:val="en-US" w:eastAsia="zh-CN"/>
        </w:rPr>
        <w:t xml:space="preserve">反映行政单位（包括实行公务员管理的事业单位）未单独设置项目科目的其他项目支出。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一般公共服务（类）201</w:t>
      </w:r>
      <w:r>
        <w:rPr>
          <w:rFonts w:hint="eastAsia" w:ascii="仿宋_GB2312" w:eastAsia="仿宋_GB2312"/>
          <w:color w:val="000000"/>
          <w:sz w:val="32"/>
          <w:szCs w:val="32"/>
        </w:rPr>
        <w:t>群众团体事务（</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一其他群众团体事务支出（项）99：</w:t>
      </w:r>
      <w:r>
        <w:rPr>
          <w:rFonts w:hint="eastAsia" w:ascii="仿宋_GB2312" w:eastAsia="仿宋_GB2312"/>
          <w:color w:val="auto"/>
          <w:sz w:val="32"/>
          <w:szCs w:val="32"/>
          <w:lang w:eastAsia="zh-CN"/>
        </w:rPr>
        <w:t>反映除上诉项目以外其他用于群众团体事务方面的支出。</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000000"/>
          <w:sz w:val="32"/>
          <w:szCs w:val="32"/>
          <w:lang w:val="en-US" w:eastAsia="zh-CN"/>
        </w:rPr>
        <w:t>11.</w:t>
      </w:r>
      <w:r>
        <w:rPr>
          <w:rFonts w:hint="eastAsia" w:ascii="仿宋_GB2312" w:hAnsi="仿宋_GB2312" w:eastAsia="仿宋_GB2312" w:cs="仿宋_GB2312"/>
          <w:kern w:val="0"/>
          <w:sz w:val="32"/>
          <w:szCs w:val="32"/>
          <w:lang w:val="en-US" w:eastAsia="zh-CN" w:bidi="ar"/>
        </w:rPr>
        <w:t>一般公共服务支出（类）201组织事务（款）32</w:t>
      </w:r>
      <w:r>
        <w:rPr>
          <w:rFonts w:hint="eastAsia" w:ascii="仿宋_GB2312" w:eastAsia="仿宋_GB2312"/>
          <w:color w:val="000000"/>
          <w:sz w:val="32"/>
          <w:szCs w:val="32"/>
        </w:rPr>
        <w:t>其 一般行政管理事务（项）</w:t>
      </w:r>
      <w:r>
        <w:rPr>
          <w:rFonts w:hint="eastAsia" w:ascii="仿宋_GB2312" w:eastAsia="仿宋_GB2312"/>
          <w:color w:val="000000"/>
          <w:sz w:val="32"/>
          <w:szCs w:val="32"/>
          <w:lang w:val="en-US" w:eastAsia="zh-CN"/>
        </w:rPr>
        <w:t>02</w:t>
      </w:r>
      <w:r>
        <w:rPr>
          <w:rFonts w:hint="eastAsia" w:ascii="仿宋_GB2312" w:eastAsia="仿宋_GB2312"/>
          <w:color w:val="auto"/>
          <w:sz w:val="32"/>
          <w:szCs w:val="32"/>
        </w:rPr>
        <w:t>：指反映</w:t>
      </w:r>
      <w:r>
        <w:rPr>
          <w:rFonts w:hint="eastAsia" w:ascii="仿宋_GB2312" w:eastAsia="仿宋_GB2312"/>
          <w:color w:val="auto"/>
          <w:sz w:val="32"/>
          <w:szCs w:val="32"/>
          <w:lang w:eastAsia="zh-CN"/>
        </w:rPr>
        <w:t>行政单位（包括实行公务员管理的事业单位）未单独设置顶级科目的去他项目支出</w:t>
      </w:r>
      <w:r>
        <w:rPr>
          <w:rFonts w:hint="eastAsia" w:ascii="仿宋_GB2312" w:eastAsia="仿宋_GB2312"/>
          <w:color w:val="auto"/>
          <w:sz w:val="32"/>
          <w:szCs w:val="32"/>
        </w:rPr>
        <w:t>。</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12.</w:t>
      </w:r>
      <w:r>
        <w:rPr>
          <w:rFonts w:hint="eastAsia" w:ascii="仿宋_GB2312" w:hAnsi="仿宋_GB2312" w:eastAsia="仿宋_GB2312" w:cs="仿宋_GB2312"/>
          <w:kern w:val="0"/>
          <w:sz w:val="32"/>
          <w:szCs w:val="32"/>
          <w:lang w:val="en-US" w:eastAsia="zh-CN" w:bidi="ar"/>
        </w:rPr>
        <w:t>一般公共服务（类）201组织事务（款）32</w:t>
      </w:r>
      <w:r>
        <w:rPr>
          <w:rFonts w:hint="eastAsia" w:ascii="仿宋_GB2312" w:eastAsia="仿宋_GB2312"/>
          <w:color w:val="000000"/>
          <w:sz w:val="32"/>
          <w:szCs w:val="32"/>
        </w:rPr>
        <w:t xml:space="preserve"> 其他组织事务支出（项）99：</w:t>
      </w:r>
      <w:r>
        <w:rPr>
          <w:rFonts w:hint="eastAsia" w:ascii="仿宋_GB2312" w:eastAsia="仿宋_GB2312"/>
          <w:color w:val="auto"/>
          <w:sz w:val="32"/>
          <w:szCs w:val="32"/>
          <w:lang w:eastAsia="zh-CN"/>
        </w:rPr>
        <w:t>反映除上诉项目以外其他用于中国共产党</w:t>
      </w:r>
      <w:r>
        <w:rPr>
          <w:rFonts w:hint="eastAsia" w:ascii="仿宋_GB2312" w:eastAsia="仿宋_GB2312"/>
          <w:color w:val="auto"/>
          <w:sz w:val="32"/>
          <w:szCs w:val="32"/>
          <w:lang w:val="en-US" w:eastAsia="zh-CN"/>
        </w:rPr>
        <w:t xml:space="preserve"> 组织部门的事务支出。</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13.</w:t>
      </w:r>
      <w:r>
        <w:rPr>
          <w:rFonts w:hint="eastAsia" w:ascii="仿宋_GB2312" w:hAnsi="仿宋_GB2312" w:eastAsia="仿宋_GB2312" w:cs="仿宋_GB2312"/>
          <w:kern w:val="0"/>
          <w:sz w:val="32"/>
          <w:szCs w:val="32"/>
          <w:lang w:val="en-US" w:eastAsia="zh-CN" w:bidi="ar"/>
        </w:rPr>
        <w:t>一般公共服务（类）201市场监督管理事务（款）38</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市场监督管理专项</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w:t>
      </w:r>
      <w:r>
        <w:rPr>
          <w:rFonts w:hint="eastAsia" w:ascii="仿宋_GB2312" w:eastAsia="仿宋_GB2312"/>
          <w:color w:val="auto"/>
          <w:sz w:val="32"/>
          <w:szCs w:val="32"/>
          <w:lang w:val="en-US" w:eastAsia="zh-CN"/>
        </w:rPr>
        <w:t>从事市场监督管理专项业务方面的支出，单设科目的业务除外。</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hAnsi="仿宋_GB2312" w:eastAsia="仿宋_GB2312" w:cs="仿宋_GB2312"/>
          <w:kern w:val="0"/>
          <w:sz w:val="32"/>
          <w:szCs w:val="32"/>
          <w:lang w:val="en-US" w:eastAsia="zh-CN" w:bidi="ar"/>
        </w:rPr>
        <w:t>14.一般公共服务（类）201市场监督管理事务（款）38</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其他市场监督管理事务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w:t>
      </w:r>
      <w:r>
        <w:rPr>
          <w:rFonts w:hint="eastAsia" w:ascii="仿宋_GB2312" w:eastAsia="仿宋_GB2312"/>
          <w:color w:val="auto"/>
          <w:sz w:val="32"/>
          <w:szCs w:val="32"/>
          <w:lang w:val="en-US" w:eastAsia="zh-CN"/>
        </w:rPr>
        <w:t>用于除上述项目以外其他市场监督管理事务方面的支出。</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15.</w:t>
      </w:r>
      <w:r>
        <w:rPr>
          <w:rFonts w:hint="eastAsia" w:ascii="仿宋_GB2312" w:hAnsi="仿宋_GB2312" w:eastAsia="仿宋_GB2312" w:cs="仿宋_GB2312"/>
          <w:kern w:val="0"/>
          <w:sz w:val="32"/>
          <w:szCs w:val="32"/>
          <w:lang w:val="en-US" w:eastAsia="zh-CN" w:bidi="ar"/>
        </w:rPr>
        <w:t>一般公共服务（类）201</w:t>
      </w:r>
      <w:r>
        <w:rPr>
          <w:rFonts w:hint="eastAsia" w:ascii="仿宋_GB2312" w:eastAsia="仿宋_GB2312"/>
          <w:color w:val="000000"/>
          <w:sz w:val="32"/>
          <w:szCs w:val="32"/>
          <w:lang w:val="en-US" w:eastAsia="zh-CN"/>
        </w:rPr>
        <w:t>其他一般公共服务支出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其他一般公共服务支出</w:t>
      </w:r>
      <w:r>
        <w:rPr>
          <w:rFonts w:hint="eastAsia" w:ascii="仿宋_GB2312" w:eastAsia="仿宋_GB2312"/>
          <w:color w:val="000000"/>
          <w:sz w:val="32"/>
          <w:szCs w:val="32"/>
        </w:rPr>
        <w:t>（项）99</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反映除上述项目为包括的一般公共服务支出。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204国家安全（款）03</w:t>
      </w:r>
      <w:r>
        <w:rPr>
          <w:rFonts w:hint="eastAsia" w:ascii="仿宋_GB2312" w:eastAsia="仿宋_GB2312"/>
          <w:color w:val="000000"/>
          <w:sz w:val="32"/>
          <w:szCs w:val="32"/>
        </w:rPr>
        <w:t>其他国家安全支出（项）99：指反映用于安全方面的支出。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机关事业单位基本养老保险缴费支出（项）05：指反映机关事业单位实施养老保险制度由单位缴纳的基本养老保险费支出。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机关事业单位职业年金缴费支出（项）06：指反映机关事业单位实施养老保险制度由单位实际缴纳的职业年金支出。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卫生健康支出</w:t>
      </w:r>
      <w:r>
        <w:rPr>
          <w:rFonts w:hint="eastAsia" w:ascii="仿宋_GB2312" w:eastAsia="仿宋_GB2312"/>
          <w:color w:val="000000"/>
          <w:sz w:val="32"/>
          <w:szCs w:val="32"/>
          <w:lang w:eastAsia="zh-CN"/>
        </w:rPr>
        <w:t>（类）</w:t>
      </w:r>
      <w:r>
        <w:rPr>
          <w:rFonts w:hint="eastAsia" w:ascii="仿宋_GB2312" w:eastAsia="仿宋_GB2312"/>
          <w:color w:val="000000"/>
          <w:sz w:val="32"/>
          <w:szCs w:val="32"/>
          <w:lang w:val="en-US" w:eastAsia="zh-CN"/>
        </w:rPr>
        <w:t>210行政事业单位医疗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11行政事业单位医疗（项）01</w:t>
      </w:r>
      <w:r>
        <w:rPr>
          <w:rFonts w:hint="eastAsia" w:ascii="仿宋_GB2312" w:eastAsia="仿宋_GB2312"/>
          <w:color w:val="000000"/>
          <w:sz w:val="32"/>
          <w:szCs w:val="32"/>
        </w:rPr>
        <w:t>：</w:t>
      </w:r>
      <w:r>
        <w:rPr>
          <w:rFonts w:hint="eastAsia" w:ascii="仿宋_GB2312" w:eastAsia="仿宋_GB2312"/>
          <w:color w:val="auto"/>
          <w:sz w:val="32"/>
          <w:szCs w:val="32"/>
        </w:rPr>
        <w:t>指反映</w:t>
      </w:r>
      <w:r>
        <w:rPr>
          <w:rFonts w:hint="eastAsia" w:ascii="仿宋_GB2312" w:eastAsia="仿宋_GB2312"/>
          <w:color w:val="000000"/>
          <w:sz w:val="32"/>
          <w:szCs w:val="32"/>
        </w:rPr>
        <w:t>财政部门集中安排的行政单位</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包括实行公务员管理事业单位，下同）</w:t>
      </w:r>
      <w:r>
        <w:rPr>
          <w:rFonts w:hint="eastAsia" w:ascii="仿宋_GB2312" w:eastAsia="仿宋_GB2312"/>
          <w:color w:val="000000"/>
          <w:sz w:val="32"/>
          <w:szCs w:val="32"/>
        </w:rPr>
        <w:t>基本医疗保险缴费经费，未参加医疗保险的行政单位的公费医疗经费，按国家规定享受离休人员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红军老战士</w:t>
      </w:r>
      <w:r>
        <w:rPr>
          <w:rFonts w:hint="eastAsia" w:ascii="仿宋_GB2312" w:eastAsia="仿宋_GB2312"/>
          <w:color w:val="000000"/>
          <w:sz w:val="32"/>
          <w:szCs w:val="32"/>
        </w:rPr>
        <w:t>待遇的医疗</w:t>
      </w:r>
      <w:r>
        <w:rPr>
          <w:rFonts w:hint="eastAsia" w:ascii="仿宋_GB2312" w:eastAsia="仿宋_GB2312"/>
          <w:color w:val="000000"/>
          <w:sz w:val="32"/>
          <w:szCs w:val="32"/>
          <w:lang w:val="en-US" w:eastAsia="zh-CN"/>
        </w:rPr>
        <w:t>经费</w:t>
      </w:r>
      <w:r>
        <w:rPr>
          <w:rFonts w:hint="eastAsia" w:ascii="仿宋_GB2312" w:eastAsia="仿宋_GB2312"/>
          <w:color w:val="000000"/>
          <w:sz w:val="32"/>
          <w:szCs w:val="32"/>
        </w:rPr>
        <w:t>。</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20.城乡社区支出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01城管执法</w:t>
      </w:r>
      <w:r>
        <w:rPr>
          <w:rFonts w:hint="eastAsia" w:ascii="仿宋_GB2312" w:eastAsia="仿宋_GB2312"/>
          <w:color w:val="000000"/>
          <w:sz w:val="32"/>
          <w:szCs w:val="32"/>
        </w:rPr>
        <w:t>（项）01</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放映城市综合管理执法、加强城市市容和环境卫生管理等方面支出。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21.城乡社区支出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2城乡社区环境卫生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05城乡社区环境卫生</w:t>
      </w:r>
      <w:r>
        <w:rPr>
          <w:rFonts w:hint="eastAsia" w:ascii="仿宋_GB2312" w:eastAsia="仿宋_GB2312"/>
          <w:color w:val="000000"/>
          <w:sz w:val="32"/>
          <w:szCs w:val="32"/>
        </w:rPr>
        <w:t>（项）01：</w:t>
      </w:r>
      <w:r>
        <w:rPr>
          <w:rFonts w:hint="eastAsia" w:ascii="仿宋_GB2312" w:eastAsia="仿宋_GB2312"/>
          <w:color w:val="000000"/>
          <w:sz w:val="32"/>
          <w:szCs w:val="32"/>
          <w:lang w:eastAsia="zh-CN"/>
        </w:rPr>
        <w:t>反映城乡社区道路清扫、垃圾清运与处理、公厕建设与维护、园林绿化等方面的支出。</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22.城乡社区支出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2其他城乡社区支出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  其他城乡社区支出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反映除上述以外其他用于城乡社区方面的支出。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rPr>
        <w:t>（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rPr>
        <w:t>（款）01</w:t>
      </w:r>
      <w:r>
        <w:rPr>
          <w:rFonts w:hint="eastAsia" w:ascii="仿宋_GB2312" w:eastAsia="仿宋_GB2312"/>
          <w:color w:val="000000"/>
          <w:sz w:val="32"/>
          <w:szCs w:val="32"/>
          <w:lang w:val="en-US" w:eastAsia="zh-CN"/>
        </w:rPr>
        <w:t>农业组织化与产业化经营</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24：反映对农民专业合作社组织、农业产业化龙头企业等开展基地建设、质量标准认证等方面的补助支出。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林业（</w:t>
      </w:r>
      <w:r>
        <w:rPr>
          <w:rFonts w:hint="eastAsia" w:ascii="仿宋_GB2312" w:eastAsia="仿宋_GB2312"/>
          <w:color w:val="000000"/>
          <w:sz w:val="32"/>
          <w:szCs w:val="32"/>
        </w:rPr>
        <w:t>款）02林业防灾减灾（项）34：反映为</w:t>
      </w:r>
      <w:r>
        <w:rPr>
          <w:rFonts w:hint="eastAsia" w:ascii="仿宋_GB2312" w:eastAsia="仿宋_GB2312"/>
          <w:color w:val="000000"/>
          <w:sz w:val="32"/>
          <w:szCs w:val="32"/>
          <w:lang w:val="en-US" w:eastAsia="zh-CN"/>
        </w:rPr>
        <w:t>病虫害等有害生物灾害。野生动物疫病灾害等方面</w:t>
      </w:r>
      <w:r>
        <w:rPr>
          <w:rFonts w:hint="eastAsia" w:ascii="仿宋_GB2312" w:eastAsia="仿宋_GB2312"/>
          <w:color w:val="000000"/>
          <w:sz w:val="32"/>
          <w:szCs w:val="32"/>
        </w:rPr>
        <w:t>的支出。</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 xml:space="preserve">（款）03 </w:t>
      </w:r>
      <w:r>
        <w:rPr>
          <w:rFonts w:hint="eastAsia" w:ascii="仿宋_GB2312" w:eastAsia="仿宋_GB2312"/>
          <w:color w:val="000000"/>
          <w:sz w:val="32"/>
          <w:szCs w:val="32"/>
          <w:lang w:val="en-US" w:eastAsia="zh-CN"/>
        </w:rPr>
        <w:t>水利工程运行及维护</w:t>
      </w:r>
      <w:r>
        <w:rPr>
          <w:rFonts w:hint="eastAsia" w:ascii="仿宋_GB2312" w:eastAsia="仿宋_GB2312"/>
          <w:color w:val="000000"/>
          <w:sz w:val="32"/>
          <w:szCs w:val="32"/>
          <w:lang w:eastAsia="zh-CN"/>
        </w:rPr>
        <w:t>（</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06：反映水利系统用于江、河、湖、滩等治理工程运行与维护方面的支出，以及纳入预算管理的水利工程管理单位支出。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（款）03防汛（项）14：反映防汛业务支出。</w:t>
      </w:r>
      <w:r>
        <w:rPr>
          <w:rFonts w:hint="eastAsia" w:ascii="仿宋_GB2312" w:eastAsia="仿宋_GB2312"/>
          <w:color w:val="000000"/>
          <w:sz w:val="32"/>
          <w:szCs w:val="32"/>
          <w:lang w:eastAsia="zh-CN"/>
        </w:rPr>
        <w:t>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农村综合改革</w:t>
      </w:r>
      <w:r>
        <w:rPr>
          <w:rFonts w:hint="eastAsia" w:ascii="仿宋_GB2312" w:eastAsia="仿宋_GB2312"/>
          <w:color w:val="000000"/>
          <w:sz w:val="32"/>
          <w:szCs w:val="32"/>
        </w:rPr>
        <w:t>（款）07对村民委员会和村党支部的补助（项）05：反映各级财政对村民委员会和村党支部的补助支出，以及支持建立县级基本财力保障机制安排的村级组织运转奖补资金。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w:t>
      </w:r>
      <w:r>
        <w:rPr>
          <w:rFonts w:hint="eastAsia" w:ascii="仿宋_GB2312" w:eastAsia="仿宋_GB2312"/>
          <w:color w:val="000000"/>
          <w:sz w:val="32"/>
          <w:szCs w:val="32"/>
          <w:lang w:eastAsia="zh-CN"/>
        </w:rPr>
        <w:t>交通运输支出</w:t>
      </w:r>
      <w:r>
        <w:rPr>
          <w:rFonts w:hint="eastAsia" w:ascii="仿宋_GB2312" w:eastAsia="仿宋_GB2312"/>
          <w:color w:val="000000"/>
          <w:sz w:val="32"/>
          <w:szCs w:val="32"/>
        </w:rPr>
        <w:t>（类）214</w:t>
      </w:r>
      <w:r>
        <w:rPr>
          <w:rFonts w:hint="eastAsia" w:ascii="仿宋_GB2312" w:eastAsia="仿宋_GB2312"/>
          <w:color w:val="000000"/>
          <w:sz w:val="32"/>
          <w:szCs w:val="32"/>
          <w:lang w:eastAsia="zh-CN"/>
        </w:rPr>
        <w:t>公路水路运输</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公路和运输安全（项）10：指反映公路和运输安全支出。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（类）221</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（款）02住房公积金（项）01：指反映行政事业单位按人力资源和社会保障部、财政部规定的基本工资和津贴补贴以及规定比例为职工缴纳的住房公积金。</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auto"/>
          <w:sz w:val="32"/>
          <w:szCs w:val="32"/>
          <w:lang w:val="en-US" w:eastAsia="zh-CN"/>
        </w:rPr>
        <w:t>31.</w:t>
      </w:r>
      <w:r>
        <w:rPr>
          <w:rStyle w:val="15"/>
          <w:rFonts w:hint="eastAsia" w:ascii="仿宋_GB2312" w:eastAsia="仿宋_GB2312"/>
          <w:b w:val="0"/>
          <w:bCs w:val="0"/>
          <w:color w:val="000000"/>
          <w:sz w:val="32"/>
          <w:szCs w:val="32"/>
        </w:rPr>
        <w:t>、</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01安全监管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06：反映安全生产监管方面的支出。</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32.</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224其他灾害防治及</w:t>
      </w:r>
      <w:r>
        <w:rPr>
          <w:rFonts w:hint="eastAsia" w:ascii="仿宋_GB2312" w:eastAsia="仿宋_GB2312"/>
          <w:color w:val="000000"/>
          <w:sz w:val="32"/>
          <w:szCs w:val="32"/>
          <w:lang w:val="en-US" w:eastAsia="zh-CN"/>
        </w:rPr>
        <w:t>应急管理支出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w:t>
      </w:r>
      <w:r>
        <w:rPr>
          <w:rFonts w:hint="eastAsia" w:ascii="仿宋" w:hAnsi="仿宋" w:eastAsia="仿宋" w:cs="仿宋"/>
          <w:color w:val="000000"/>
          <w:sz w:val="32"/>
          <w:szCs w:val="32"/>
          <w:lang w:val="en-US" w:eastAsia="zh-CN"/>
        </w:rPr>
        <w:t>其他灾害防治及</w:t>
      </w:r>
      <w:r>
        <w:rPr>
          <w:rFonts w:hint="eastAsia" w:ascii="仿宋_GB2312" w:eastAsia="仿宋_GB2312"/>
          <w:color w:val="000000"/>
          <w:sz w:val="32"/>
          <w:szCs w:val="32"/>
          <w:lang w:val="en-US" w:eastAsia="zh-CN"/>
        </w:rPr>
        <w:t>应急管理支出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00：反映除上述项目以外其他用于灾害防治及应急管理支出。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320" w:firstLineChars="100"/>
        <w:rPr>
          <w:rFonts w:hint="eastAsia" w:ascii="仿宋_GB2312" w:eastAsia="仿宋_GB2312"/>
          <w:color w:val="000000"/>
          <w:sz w:val="32"/>
          <w:szCs w:val="32"/>
        </w:rPr>
      </w:pPr>
      <w:r>
        <w:rPr>
          <w:rFonts w:hint="eastAsia" w:ascii="仿宋_GB2312" w:eastAsia="仿宋_GB2312"/>
          <w:color w:val="000000"/>
          <w:sz w:val="32"/>
          <w:szCs w:val="32"/>
        </w:rPr>
        <w:t>（名词解释部分请根据各部门实际列支情况罗列，并根据本部门职责职能增减名词解释内容。）</w:t>
      </w:r>
    </w:p>
    <w:p>
      <w:pPr>
        <w:ind w:firstLine="643" w:firstLineChars="200"/>
        <w:rPr>
          <w:rFonts w:ascii="仿宋" w:hAnsi="仿宋" w:eastAsia="仿宋"/>
          <w:b/>
          <w:color w:val="000000"/>
          <w:sz w:val="32"/>
          <w:szCs w:val="32"/>
        </w:rPr>
      </w:pPr>
    </w:p>
    <w:p>
      <w:pPr>
        <w:spacing w:line="600" w:lineRule="exact"/>
        <w:jc w:val="center"/>
        <w:outlineLvl w:val="0"/>
        <w:rPr>
          <w:rStyle w:val="25"/>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58"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8"/>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9"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9"/>
    </w:p>
    <w:p>
      <w:pPr>
        <w:pStyle w:val="4"/>
        <w:rPr>
          <w:rFonts w:ascii="仿宋" w:hAnsi="仿宋" w:eastAsia="仿宋"/>
          <w:color w:val="000000"/>
        </w:rPr>
      </w:pPr>
      <w:bookmarkStart w:id="60"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0"/>
    </w:p>
    <w:p>
      <w:pPr>
        <w:pStyle w:val="4"/>
        <w:rPr>
          <w:rFonts w:ascii="仿宋" w:hAnsi="仿宋" w:eastAsia="仿宋"/>
          <w:color w:val="000000"/>
        </w:rPr>
      </w:pPr>
      <w:bookmarkStart w:id="61"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1"/>
    </w:p>
    <w:p>
      <w:pPr>
        <w:pStyle w:val="4"/>
        <w:rPr>
          <w:rFonts w:ascii="仿宋" w:hAnsi="仿宋" w:eastAsia="仿宋"/>
          <w:b w:val="0"/>
          <w:color w:val="000000"/>
        </w:rPr>
      </w:pPr>
      <w:bookmarkStart w:id="62"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2"/>
    </w:p>
    <w:p>
      <w:pPr>
        <w:pStyle w:val="4"/>
        <w:rPr>
          <w:rStyle w:val="26"/>
          <w:rFonts w:ascii="仿宋" w:hAnsi="仿宋" w:eastAsia="仿宋"/>
          <w:b w:val="0"/>
          <w:bCs w:val="0"/>
        </w:rPr>
      </w:pPr>
      <w:bookmarkStart w:id="63"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3"/>
      <w:bookmarkStart w:id="64" w:name="_Toc15396624"/>
    </w:p>
    <w:p>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4"/>
    </w:p>
    <w:p>
      <w:pPr>
        <w:pStyle w:val="4"/>
        <w:rPr>
          <w:rFonts w:ascii="仿宋" w:hAnsi="仿宋" w:eastAsia="仿宋"/>
          <w:color w:val="000000"/>
        </w:rPr>
      </w:pPr>
      <w:bookmarkStart w:id="6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5"/>
    </w:p>
    <w:p>
      <w:pPr>
        <w:pStyle w:val="4"/>
        <w:rPr>
          <w:rFonts w:ascii="仿宋" w:hAnsi="仿宋" w:eastAsia="仿宋"/>
          <w:color w:val="000000"/>
        </w:rPr>
      </w:pPr>
      <w:bookmarkStart w:id="66"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6"/>
    </w:p>
    <w:p>
      <w:pPr>
        <w:pStyle w:val="4"/>
        <w:rPr>
          <w:rFonts w:ascii="仿宋" w:hAnsi="仿宋" w:eastAsia="仿宋"/>
          <w:color w:val="000000"/>
        </w:rPr>
      </w:pPr>
      <w:bookmarkStart w:id="67"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7"/>
    </w:p>
    <w:p>
      <w:pPr>
        <w:pStyle w:val="4"/>
        <w:rPr>
          <w:rFonts w:ascii="仿宋" w:hAnsi="仿宋" w:eastAsia="仿宋"/>
          <w:color w:val="000000"/>
        </w:rPr>
      </w:pPr>
      <w:bookmarkStart w:id="68"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8"/>
    </w:p>
    <w:p>
      <w:pPr>
        <w:pStyle w:val="4"/>
        <w:rPr>
          <w:rFonts w:ascii="仿宋" w:hAnsi="仿宋" w:eastAsia="仿宋"/>
          <w:color w:val="000000"/>
        </w:rPr>
      </w:pPr>
      <w:bookmarkStart w:id="6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9"/>
    </w:p>
    <w:p>
      <w:pPr>
        <w:pStyle w:val="4"/>
        <w:rPr>
          <w:rFonts w:ascii="仿宋" w:hAnsi="仿宋" w:eastAsia="仿宋"/>
          <w:color w:val="000000"/>
        </w:rPr>
      </w:pPr>
      <w:bookmarkStart w:id="70"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0"/>
    </w:p>
    <w:p>
      <w:pPr>
        <w:pStyle w:val="4"/>
        <w:rPr>
          <w:rFonts w:ascii="仿宋" w:hAnsi="仿宋" w:eastAsia="仿宋"/>
          <w:color w:val="000000" w:themeColor="text1"/>
          <w14:textFill>
            <w14:solidFill>
              <w14:schemeClr w14:val="tx1"/>
            </w14:solidFill>
          </w14:textFill>
        </w:rPr>
      </w:pPr>
      <w:bookmarkStart w:id="71"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AC2F16C"/>
    <w:multiLevelType w:val="singleLevel"/>
    <w:tmpl w:val="EAC2F16C"/>
    <w:lvl w:ilvl="0" w:tentative="0">
      <w:start w:val="4"/>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MTI0ZGUxMmY2OWNmNjYwZGQwNjEzMThkMGU0Z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D41BD0"/>
    <w:rsid w:val="0D400E04"/>
    <w:rsid w:val="10C055FF"/>
    <w:rsid w:val="1296170D"/>
    <w:rsid w:val="13056A80"/>
    <w:rsid w:val="15A04623"/>
    <w:rsid w:val="16A84AAD"/>
    <w:rsid w:val="16BB723D"/>
    <w:rsid w:val="1CD4556D"/>
    <w:rsid w:val="23066BC1"/>
    <w:rsid w:val="240371BF"/>
    <w:rsid w:val="29FD04D3"/>
    <w:rsid w:val="2FE60B35"/>
    <w:rsid w:val="319F7F4E"/>
    <w:rsid w:val="33B82279"/>
    <w:rsid w:val="35BA78FA"/>
    <w:rsid w:val="3722591E"/>
    <w:rsid w:val="3CDE7E26"/>
    <w:rsid w:val="41FB0DF9"/>
    <w:rsid w:val="43535DB3"/>
    <w:rsid w:val="43B14E51"/>
    <w:rsid w:val="4A5A4902"/>
    <w:rsid w:val="4ADB4591"/>
    <w:rsid w:val="4E8A4513"/>
    <w:rsid w:val="4ECE2238"/>
    <w:rsid w:val="50326388"/>
    <w:rsid w:val="51270C6B"/>
    <w:rsid w:val="531774A2"/>
    <w:rsid w:val="5FDF2183"/>
    <w:rsid w:val="61CC087D"/>
    <w:rsid w:val="67BA7A25"/>
    <w:rsid w:val="6AFE6F16"/>
    <w:rsid w:val="6E33773B"/>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9427</Words>
  <Characters>10409</Characters>
  <Lines>7</Lines>
  <Paragraphs>17</Paragraphs>
  <TotalTime>6</TotalTime>
  <ScaleCrop>false</ScaleCrop>
  <LinksUpToDate>false</LinksUpToDate>
  <CharactersWithSpaces>10472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Chrismanman</cp:lastModifiedBy>
  <cp:lastPrinted>2021-09-08T07:10:00Z</cp:lastPrinted>
  <dcterms:modified xsi:type="dcterms:W3CDTF">2022-09-28T02:19:59Z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C5AB8293AD4344689A1AB6946F0837D0</vt:lpwstr>
  </property>
</Properties>
</file>