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96475"/>
      <w:bookmarkStart w:id="4" w:name="_Toc15378441"/>
      <w:bookmarkStart w:id="5" w:name="_Toc15396597"/>
      <w:r>
        <w:rPr>
          <w:rFonts w:hint="eastAsia"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48"/>
          <w:szCs w:val="48"/>
        </w:rPr>
      </w:pPr>
      <w:bookmarkStart w:id="6" w:name="_Toc15377194"/>
      <w:bookmarkStart w:id="7" w:name="_Toc15396476"/>
      <w:bookmarkStart w:id="8" w:name="_Toc15396598"/>
      <w:bookmarkStart w:id="9" w:name="_Toc15306268"/>
      <w:bookmarkStart w:id="10" w:name="_Toc15378442"/>
      <w:bookmarkStart w:id="11" w:name="_Toc15377426"/>
      <w:r>
        <w:rPr>
          <w:rFonts w:hint="eastAsia" w:ascii="方正小标宋简体" w:hAnsi="宋体" w:eastAsia="方正小标宋简体"/>
          <w:color w:val="000000"/>
          <w:sz w:val="48"/>
          <w:szCs w:val="48"/>
        </w:rPr>
        <w:t>广元经济技术开发区下西坝街道办事处</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编</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制</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说</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明</w:t>
      </w:r>
    </w:p>
    <w:p>
      <w:pPr>
        <w:widowControl/>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公开时间：2021年9月11日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8</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w:t>
      </w:r>
      <w:r>
        <w:rPr>
          <w:rStyle w:val="15"/>
          <w:rFonts w:hint="eastAsia"/>
        </w:rPr>
        <w:t>2020年度部门决算情况说明</w:t>
      </w:r>
      <w:r>
        <w:tab/>
      </w:r>
      <w:r>
        <w:rPr>
          <w:rFonts w:hint="eastAsia"/>
        </w:rPr>
        <w:t>9</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15</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7</w:t>
      </w:r>
      <w:r>
        <w:rPr>
          <w:rFonts w:hint="eastAsia"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rPr>
        <w:t>2</w:t>
      </w:r>
      <w:r>
        <w:rPr>
          <w:rFonts w:hint="eastAsia"/>
          <w:lang w:val="en-US" w:eastAsia="zh-CN"/>
        </w:rPr>
        <w:t>2</w:t>
      </w:r>
      <w:r>
        <w:rPr>
          <w:rFonts w:hint="eastAsia"/>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四部分附表</w:t>
      </w:r>
      <w:r>
        <w:tab/>
      </w:r>
      <w:r>
        <w:rPr>
          <w:rFonts w:hint="eastAsia"/>
        </w:rPr>
        <w:t>2</w:t>
      </w:r>
      <w:r>
        <w:rPr>
          <w:rFonts w:hint="eastAsia"/>
          <w:lang w:val="en-US" w:eastAsia="zh-CN"/>
        </w:rPr>
        <w:t>3</w:t>
      </w:r>
      <w:r>
        <w:rPr>
          <w:rFonts w:hint="eastAsia"/>
        </w:rP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1"/>
        <w:rPr>
          <w:rFonts w:ascii="仿宋" w:hAnsi="仿宋" w:eastAsia="仿宋" w:cstheme="minorBidi"/>
          <w:sz w:val="24"/>
        </w:rPr>
      </w:pPr>
    </w:p>
    <w:p>
      <w:pPr>
        <w:widowControl/>
        <w:jc w:val="left"/>
        <w:rPr>
          <w:rFonts w:hint="eastAsia" w:ascii="仿宋" w:hAnsi="仿宋" w:eastAsia="仿宋"/>
          <w:color w:val="auto"/>
          <w:highlight w:val="none"/>
          <w:lang w:val="en-US" w:eastAsia="zh-CN"/>
        </w:rPr>
      </w:pPr>
      <w:r>
        <w:rPr>
          <w:rFonts w:ascii="仿宋" w:hAnsi="仿宋" w:eastAsia="仿宋"/>
          <w:color w:val="000000"/>
          <w:sz w:val="24"/>
        </w:rPr>
        <w:fldChar w:fldCharType="end"/>
      </w:r>
      <w:bookmarkStart w:id="12" w:name="_Toc15396599"/>
      <w:bookmarkStart w:id="13" w:name="_Toc15377196"/>
      <w:r>
        <w:rPr>
          <w:rFonts w:hint="eastAsia" w:ascii="仿宋" w:hAnsi="仿宋" w:eastAsia="仿宋"/>
          <w:color w:val="000000"/>
          <w:sz w:val="24"/>
          <w:lang w:val="en-US" w:eastAsia="zh-CN"/>
        </w:rPr>
        <w:t xml:space="preserve">   </w:t>
      </w:r>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w:t>
      </w:r>
      <w:r>
        <w:rPr>
          <w:rFonts w:hint="eastAsia" w:ascii="仿宋" w:hAnsi="仿宋" w:eastAsia="仿宋"/>
          <w:sz w:val="28"/>
          <w:szCs w:val="28"/>
        </w:rPr>
        <w:t>2</w:t>
      </w:r>
      <w:r>
        <w:rPr>
          <w:rFonts w:hint="eastAsia" w:ascii="仿宋" w:hAnsi="仿宋" w:eastAsia="仿宋"/>
          <w:sz w:val="28"/>
          <w:szCs w:val="28"/>
          <w:lang w:val="en-US" w:eastAsia="zh-CN"/>
        </w:rPr>
        <w:t>3</w:t>
      </w:r>
    </w:p>
    <w:p>
      <w:pPr>
        <w:pStyle w:val="4"/>
        <w:ind w:firstLine="320" w:firstLineChars="100"/>
        <w:rPr>
          <w:rFonts w:hint="eastAsia" w:ascii="仿宋" w:hAnsi="仿宋" w:eastAsia="仿宋"/>
          <w:color w:val="auto"/>
          <w:highlight w:val="none"/>
          <w:lang w:val="en-US" w:eastAsia="zh-CN"/>
        </w:rPr>
      </w:pPr>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p>
    <w:p>
      <w:pPr>
        <w:pStyle w:val="4"/>
        <w:ind w:firstLine="320" w:firstLineChars="100"/>
        <w:rPr>
          <w:rStyle w:val="25"/>
          <w:rFonts w:hint="default" w:ascii="仿宋" w:hAnsi="仿宋" w:eastAsia="仿宋"/>
          <w:b w:val="0"/>
          <w:bCs w:val="0"/>
          <w:color w:val="auto"/>
          <w:highlight w:val="none"/>
          <w:lang w:val="en-US" w:eastAsia="zh-CN"/>
        </w:rPr>
      </w:pPr>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r>
        <w:rPr>
          <w:rStyle w:val="25"/>
          <w:rFonts w:hint="eastAsia" w:ascii="仿宋" w:hAnsi="仿宋" w:eastAsia="仿宋"/>
          <w:b w:val="0"/>
          <w:bCs w:val="0"/>
          <w:color w:val="auto"/>
          <w:highlight w:val="none"/>
          <w:lang w:val="en-US" w:eastAsia="zh-CN"/>
        </w:rPr>
        <w:t>....23</w:t>
      </w:r>
    </w:p>
    <w:p>
      <w:pPr>
        <w:ind w:firstLine="320" w:firstLineChars="100"/>
        <w:rPr>
          <w:rFonts w:hint="default" w:eastAsia="仿宋"/>
          <w:color w:val="auto"/>
          <w:highlight w:val="none"/>
          <w:lang w:val="en-US" w:eastAsia="zh-CN"/>
        </w:rPr>
      </w:pPr>
      <w:r>
        <w:rPr>
          <w:rStyle w:val="25"/>
          <w:rFonts w:hint="eastAsia" w:ascii="仿宋" w:hAnsi="仿宋" w:eastAsia="仿宋"/>
          <w:b w:val="0"/>
          <w:bCs w:val="0"/>
          <w:color w:val="auto"/>
          <w:highlight w:val="none"/>
          <w:lang w:eastAsia="zh-CN"/>
        </w:rPr>
        <w:t>十四、国有资本经营预算财政拨款支出决算表</w:t>
      </w:r>
      <w:r>
        <w:rPr>
          <w:rStyle w:val="25"/>
          <w:rFonts w:hint="eastAsia" w:ascii="仿宋" w:hAnsi="仿宋" w:eastAsia="仿宋"/>
          <w:b w:val="0"/>
          <w:bCs w:val="0"/>
          <w:color w:val="auto"/>
          <w:highlight w:val="none"/>
          <w:lang w:val="en-US" w:eastAsia="zh-CN"/>
        </w:rPr>
        <w:t>........23</w:t>
      </w:r>
    </w:p>
    <w:p>
      <w:pPr>
        <w:pStyle w:val="4"/>
        <w:rPr>
          <w:rFonts w:ascii="仿宋" w:hAnsi="仿宋" w:eastAsia="仿宋"/>
          <w:color w:val="000000" w:themeColor="text1"/>
        </w:rPr>
      </w:pPr>
    </w:p>
    <w:p>
      <w:pPr>
        <w:widowControl/>
        <w:jc w:val="left"/>
        <w:rPr>
          <w:rFonts w:ascii="黑体" w:hAnsi="黑体" w:eastAsia="黑体"/>
          <w:bCs/>
          <w:kern w:val="44"/>
          <w:sz w:val="44"/>
          <w:szCs w:val="44"/>
        </w:rPr>
      </w:pPr>
      <w:r>
        <w:rPr>
          <w:rFonts w:ascii="黑体" w:hAnsi="黑体" w:eastAsia="黑体"/>
          <w:b/>
        </w:rPr>
        <w:br w:type="page"/>
      </w:r>
    </w:p>
    <w:p>
      <w:pPr>
        <w:pStyle w:val="3"/>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2"/>
        <w:adjustRightInd w:val="0"/>
        <w:snapToGrid w:val="0"/>
        <w:spacing w:beforeLines="0" w:line="560" w:lineRule="exact"/>
        <w:ind w:firstLine="672" w:firstLineChars="210"/>
        <w:rPr>
          <w:rFonts w:hAnsi="楷体_GB2312" w:cs="楷体_GB2312"/>
          <w:color w:val="000000"/>
          <w:sz w:val="32"/>
          <w:szCs w:val="32"/>
        </w:rPr>
      </w:pPr>
      <w:bookmarkStart w:id="18" w:name="_Toc15377199"/>
      <w:bookmarkStart w:id="19" w:name="_Toc15378446"/>
      <w:r>
        <w:rPr>
          <w:rFonts w:hint="eastAsia" w:hAnsi="楷体_GB2312" w:cs="楷体_GB2312"/>
          <w:color w:val="000000"/>
          <w:sz w:val="32"/>
          <w:szCs w:val="32"/>
        </w:rPr>
        <w:t>主要职责为：负责辖区内</w:t>
      </w:r>
      <w:r>
        <w:rPr>
          <w:rFonts w:hint="eastAsia" w:hAnsi="楷体_GB2312" w:cs="楷体_GB2312"/>
          <w:color w:val="000000"/>
          <w:sz w:val="32"/>
          <w:szCs w:val="32"/>
          <w:lang w:eastAsia="zh-CN"/>
        </w:rPr>
        <w:t>经济社区发展、</w:t>
      </w:r>
      <w:r>
        <w:rPr>
          <w:rFonts w:hint="eastAsia" w:hAnsi="楷体_GB2312" w:cs="楷体_GB2312"/>
          <w:color w:val="000000"/>
          <w:sz w:val="32"/>
          <w:szCs w:val="32"/>
        </w:rPr>
        <w:t>安全生产、信访维稳、房屋征收与补偿、计划生育、民政、劳动就业、社会保障、环境卫生等工作。</w:t>
      </w:r>
    </w:p>
    <w:p>
      <w:pPr>
        <w:pStyle w:val="2"/>
        <w:adjustRightInd w:val="0"/>
        <w:snapToGrid w:val="0"/>
        <w:spacing w:beforeLines="0" w:line="560" w:lineRule="exact"/>
        <w:ind w:firstLine="672" w:firstLineChars="210"/>
        <w:rPr>
          <w:rFonts w:hAnsi="楷体_GB2312" w:cs="楷体_GB2312"/>
          <w:color w:val="000000"/>
          <w:sz w:val="32"/>
          <w:szCs w:val="32"/>
        </w:rPr>
      </w:pPr>
      <w:r>
        <w:rPr>
          <w:rFonts w:hint="eastAsia" w:hAnsi="楷体_GB2312" w:cs="楷体_GB2312"/>
          <w:color w:val="000000"/>
          <w:sz w:val="32"/>
          <w:szCs w:val="32"/>
        </w:rPr>
        <w:t>（二）主要工作。</w:t>
      </w:r>
    </w:p>
    <w:p>
      <w:pPr>
        <w:spacing w:line="554"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一、2020年主要工作情况</w:t>
      </w:r>
    </w:p>
    <w:p>
      <w:pPr>
        <w:numPr>
          <w:ilvl w:val="0"/>
          <w:numId w:val="1"/>
        </w:numPr>
        <w:spacing w:line="554"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经济发展迈上新台阶。</w:t>
      </w:r>
      <w:r>
        <w:rPr>
          <w:rFonts w:hint="eastAsia" w:ascii="仿宋_GB2312" w:hAnsi="仿宋_GB2312" w:eastAsia="仿宋_GB2312" w:cs="仿宋_GB2312"/>
          <w:b/>
          <w:sz w:val="32"/>
          <w:szCs w:val="32"/>
        </w:rPr>
        <w:t>一是产业发展有力有序。</w:t>
      </w:r>
      <w:r>
        <w:rPr>
          <w:rFonts w:hint="eastAsia" w:ascii="仿宋_GB2312" w:hAnsi="仿宋_GB2312" w:eastAsia="仿宋_GB2312" w:cs="仿宋_GB2312"/>
          <w:bCs/>
          <w:sz w:val="32"/>
          <w:szCs w:val="32"/>
        </w:rPr>
        <w:t>全力做好企业运行服务保障，长虹、娃哈哈、高金食品等重点企业运行平稳有序，</w:t>
      </w:r>
      <w:r>
        <w:rPr>
          <w:rFonts w:hint="eastAsia" w:ascii="仿宋_GB2312" w:hAnsi="仿宋_GB2312" w:eastAsia="仿宋_GB2312" w:cs="仿宋_GB2312"/>
          <w:bCs/>
          <w:sz w:val="32"/>
          <w:szCs w:val="32"/>
          <w:lang w:val="en-US" w:eastAsia="zh-CN"/>
        </w:rPr>
        <w:t>2020年</w:t>
      </w:r>
      <w:r>
        <w:rPr>
          <w:rFonts w:hint="eastAsia" w:ascii="仿宋_GB2312" w:hAnsi="仿宋_GB2312" w:eastAsia="仿宋_GB2312" w:cs="仿宋_GB2312"/>
          <w:bCs/>
          <w:sz w:val="32"/>
          <w:szCs w:val="32"/>
        </w:rPr>
        <w:t>实现规上工业产值125.23亿元，同比增长5.4%，实现销售产值118亿元，同比增长5.6%；全力抓好企业培育发展，全街道企业及个体工商户达到了2300余户，实现就业17000余人。</w:t>
      </w:r>
      <w:r>
        <w:rPr>
          <w:rFonts w:hint="eastAsia" w:ascii="仿宋_GB2312" w:hAnsi="仿宋_GB2312" w:eastAsia="仿宋_GB2312" w:cs="仿宋_GB2312"/>
          <w:b/>
          <w:bCs/>
          <w:sz w:val="32"/>
          <w:szCs w:val="32"/>
        </w:rPr>
        <w:t>二是项目投资实现预期。</w:t>
      </w:r>
      <w:r>
        <w:rPr>
          <w:rFonts w:hint="eastAsia" w:ascii="仿宋_GB2312" w:hAnsi="仿宋_GB2312" w:eastAsia="仿宋_GB2312" w:cs="仿宋_GB2312"/>
          <w:sz w:val="32"/>
          <w:szCs w:val="32"/>
        </w:rPr>
        <w:t>全员动员抓项目、促投资。</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完成固定资产投资</w:t>
      </w:r>
      <w:r>
        <w:rPr>
          <w:rFonts w:hint="eastAsia" w:ascii="仿宋_GB2312" w:hAnsi="仿宋_GB2312" w:eastAsia="仿宋_GB2312" w:cs="仿宋_GB2312"/>
          <w:color w:val="auto"/>
          <w:sz w:val="32"/>
          <w:szCs w:val="32"/>
          <w:lang w:val="en-US" w:eastAsia="zh-CN"/>
        </w:rPr>
        <w:t>17.04</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超额</w:t>
      </w:r>
      <w:r>
        <w:rPr>
          <w:rFonts w:hint="eastAsia" w:ascii="仿宋_GB2312" w:hAnsi="仿宋_GB2312" w:eastAsia="仿宋_GB2312" w:cs="仿宋_GB2312"/>
          <w:sz w:val="32"/>
          <w:szCs w:val="32"/>
        </w:rPr>
        <w:t>完成年初下达目标任务。</w:t>
      </w:r>
      <w:r>
        <w:rPr>
          <w:rFonts w:hint="eastAsia" w:ascii="仿宋_GB2312" w:hAnsi="仿宋_GB2312" w:eastAsia="仿宋_GB2312" w:cs="仿宋_GB2312"/>
          <w:b/>
          <w:bCs/>
          <w:sz w:val="32"/>
          <w:szCs w:val="32"/>
        </w:rPr>
        <w:t>三是向上争取资金到位良好。</w:t>
      </w:r>
      <w:r>
        <w:rPr>
          <w:rFonts w:hint="eastAsia" w:ascii="仿宋_GB2312" w:hAnsi="仿宋_GB2312" w:eastAsia="仿宋_GB2312" w:cs="仿宋_GB2312"/>
          <w:sz w:val="32"/>
          <w:szCs w:val="32"/>
        </w:rPr>
        <w:t>街道认真解读国家项目资金投资方向，全力谋划争取项目资金，精准包装对接老旧小区改造等项目，共向上争取资金共计8000余万元，超额完成开发区年初下达目标任务。</w:t>
      </w:r>
    </w:p>
    <w:p>
      <w:pPr>
        <w:numPr>
          <w:ilvl w:val="0"/>
          <w:numId w:val="0"/>
        </w:numPr>
        <w:spacing w:line="554" w:lineRule="exact"/>
        <w:rPr>
          <w:rFonts w:hint="eastAsia" w:ascii="仿宋_GB2312" w:hAnsi="仿宋_GB2312" w:eastAsia="仿宋_GB2312" w:cs="仿宋_GB2312"/>
          <w:sz w:val="32"/>
          <w:szCs w:val="32"/>
        </w:rPr>
      </w:pPr>
    </w:p>
    <w:p>
      <w:pPr>
        <w:widowControl/>
        <w:tabs>
          <w:tab w:val="left" w:pos="5250"/>
        </w:tabs>
        <w:spacing w:line="554" w:lineRule="exact"/>
        <w:ind w:firstLine="643" w:firstLineChars="200"/>
        <w:jc w:val="left"/>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（二）城市建设取得新突破。</w:t>
      </w:r>
      <w:r>
        <w:rPr>
          <w:rFonts w:hint="eastAsia" w:ascii="仿宋_GB2312" w:hAnsi="仿宋_GB2312" w:eastAsia="仿宋_GB2312" w:cs="仿宋_GB2312"/>
          <w:b/>
          <w:bCs/>
          <w:sz w:val="32"/>
          <w:szCs w:val="32"/>
        </w:rPr>
        <w:t>一是“两横两纵”路网体系初步形成。</w:t>
      </w:r>
      <w:r>
        <w:rPr>
          <w:rFonts w:hint="eastAsia" w:ascii="仿宋_GB2312" w:hAnsi="仿宋_GB2312" w:eastAsia="仿宋_GB2312" w:cs="仿宋_GB2312"/>
          <w:sz w:val="32"/>
          <w:szCs w:val="32"/>
        </w:rPr>
        <w:t>街道全力以赴推进利州西路棚户区改造项目建设，累计完成了947户房屋拆迁，征收土地1066.5亩。今年，街道强措施落责任，拔除了两户钉子户，利州西路实现全线贯通，</w:t>
      </w:r>
      <w:r>
        <w:rPr>
          <w:rFonts w:ascii="仿宋_GB2312" w:hAnsi="仿宋_GB2312" w:eastAsia="仿宋_GB2312" w:cs="仿宋_GB2312"/>
          <w:sz w:val="32"/>
          <w:szCs w:val="32"/>
        </w:rPr>
        <w:t>在为方便群众出行的同时，带来了开发建设的快速推进。</w:t>
      </w:r>
      <w:r>
        <w:rPr>
          <w:rFonts w:hint="eastAsia" w:ascii="仿宋_GB2312" w:hAnsi="仿宋_GB2312" w:eastAsia="仿宋_GB2312" w:cs="仿宋_GB2312"/>
          <w:b/>
          <w:bCs/>
          <w:sz w:val="32"/>
          <w:szCs w:val="32"/>
        </w:rPr>
        <w:t>二是城市开发建设快速推进。</w:t>
      </w:r>
      <w:r>
        <w:rPr>
          <w:rFonts w:hint="eastAsia" w:ascii="仿宋_GB2312" w:hAnsi="仿宋_GB2312" w:eastAsia="仿宋_GB2312" w:cs="仿宋_GB2312"/>
          <w:sz w:val="32"/>
          <w:szCs w:val="32"/>
        </w:rPr>
        <w:t>全力推动房地产项目落地，</w:t>
      </w:r>
      <w:r>
        <w:rPr>
          <w:rFonts w:hint="eastAsia" w:ascii="仿宋_GB2312" w:hAnsi="仿宋_GB2312" w:eastAsia="仿宋_GB2312" w:cs="仿宋_GB2312"/>
          <w:sz w:val="32"/>
        </w:rPr>
        <w:t>阳光映江山、阳光御府、国成百合郡、邦泰花园城等9个</w:t>
      </w:r>
      <w:r>
        <w:rPr>
          <w:rFonts w:hint="eastAsia" w:ascii="仿宋_GB2312" w:hAnsi="仿宋_GB2312" w:eastAsia="仿宋_GB2312" w:cs="仿宋_GB2312"/>
          <w:sz w:val="32"/>
          <w:szCs w:val="32"/>
        </w:rPr>
        <w:t>城市项目陆续落地，下西棚户区1号楼、4号楼正在加快建设，下西新城框架体系全面拉开。</w:t>
      </w:r>
      <w:r>
        <w:rPr>
          <w:rFonts w:hint="eastAsia" w:ascii="仿宋_GB2312" w:hAnsi="仿宋_GB2312" w:eastAsia="仿宋_GB2312" w:cs="仿宋_GB2312"/>
          <w:b/>
          <w:bCs/>
          <w:sz w:val="32"/>
          <w:szCs w:val="32"/>
        </w:rPr>
        <w:t>三是停摆旧项目实现重启。</w:t>
      </w:r>
      <w:r>
        <w:rPr>
          <w:rFonts w:hint="eastAsia" w:ascii="仿宋_GB2312" w:hAnsi="仿宋_GB2312" w:eastAsia="仿宋_GB2312" w:cs="仿宋_GB2312"/>
          <w:sz w:val="32"/>
          <w:szCs w:val="32"/>
        </w:rPr>
        <w:t>稳步推进辖区烂尾项目重启，全力做好驰天万象项目业主和上级相关部门的衔接，驰天万象原有商业综合体全面恢复施工，驰天望江华府于今年9月正式开工建设。智慧旅游综合体项目有望在近期恢复施工，红星美凯龙项目有望2021年恢复重启。</w:t>
      </w:r>
      <w:r>
        <w:rPr>
          <w:rFonts w:hint="eastAsia" w:ascii="仿宋_GB2312" w:hAnsi="仿宋_GB2312" w:eastAsia="仿宋_GB2312" w:cs="仿宋_GB2312"/>
          <w:b/>
          <w:bCs/>
          <w:sz w:val="32"/>
          <w:szCs w:val="32"/>
        </w:rPr>
        <w:t>四是老旧小区改造启动实施。</w:t>
      </w:r>
      <w:r>
        <w:rPr>
          <w:rFonts w:hint="eastAsia" w:ascii="仿宋_GB2312" w:hAnsi="仿宋_GB2312" w:eastAsia="仿宋_GB2312" w:cs="仿宋_GB2312"/>
          <w:sz w:val="32"/>
          <w:szCs w:val="32"/>
        </w:rPr>
        <w:t xml:space="preserve">今年，街道在抓好新城开发的同时，及时推进旧城改造提升，敏锐洞悉和抢抓机遇，申报了铁路社区老旧小区改造项目，获得中央预算投资7000余万元。目前已全面完成6个区域拆违工作，3个区域实现进场施工。 </w:t>
      </w:r>
    </w:p>
    <w:p>
      <w:pPr>
        <w:widowControl/>
        <w:tabs>
          <w:tab w:val="left" w:pos="5250"/>
        </w:tabs>
        <w:spacing w:line="554" w:lineRule="exact"/>
        <w:ind w:firstLine="643" w:firstLineChars="200"/>
        <w:jc w:val="left"/>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（三）重点项目取得新成效。</w:t>
      </w:r>
      <w:r>
        <w:rPr>
          <w:rFonts w:hint="eastAsia" w:ascii="仿宋_GB2312" w:hAnsi="仿宋_GB2312" w:eastAsia="仿宋_GB2312" w:cs="仿宋_GB2312"/>
          <w:sz w:val="32"/>
          <w:szCs w:val="32"/>
        </w:rPr>
        <w:t>近年是征地拆迁任务最重的几年、也是难度最大的几年，街道迎难而上，全员动员、全力以赴、攻坚拔寨，咬定目标不放松，啃下了不少硬骨头、拔掉了不少钉子户，强力推进了重点项目征地拆迁工作。今年累计完成拆迁162户，搬迁企事业单位4家，征地210亩，拆迁房屋151081.84㎡。其中，利州西路棚户区改造项目已全面完成协议签订65户，征收面积5088㎡；利州西路棚改塔山湾大桥连接道项目完成协议签订59户个户及集体1户，征收面积5000㎡；曾家桥棚户区（原长虹生活区）项目完成协议签订并搬家25户，征收面积139403㎡；利州区第一人民医院科教综合楼项目全面完成协议签订12户，征收房屋面积1590.84㎡。</w:t>
      </w:r>
    </w:p>
    <w:p>
      <w:pPr>
        <w:spacing w:line="554" w:lineRule="exact"/>
        <w:ind w:firstLine="643" w:firstLineChars="200"/>
        <w:jc w:val="left"/>
        <w:rPr>
          <w:rFonts w:ascii="仿宋" w:hAnsi="仿宋" w:eastAsia="仿宋" w:cs="仿宋_GB2312"/>
          <w:sz w:val="32"/>
          <w:szCs w:val="32"/>
        </w:rPr>
      </w:pPr>
      <w:r>
        <w:rPr>
          <w:rFonts w:hint="eastAsia" w:ascii="楷体_GB2312" w:hAnsi="楷体_GB2312" w:eastAsia="楷体_GB2312" w:cs="楷体_GB2312"/>
          <w:b/>
          <w:sz w:val="32"/>
          <w:szCs w:val="32"/>
        </w:rPr>
        <w:t>（四）社会事业得到新提升。</w:t>
      </w:r>
      <w:r>
        <w:rPr>
          <w:rFonts w:hint="eastAsia" w:ascii="仿宋_GB2312" w:hAnsi="仿宋_GB2312" w:eastAsia="仿宋_GB2312" w:cs="仿宋_GB2312"/>
          <w:b/>
          <w:bCs/>
          <w:sz w:val="32"/>
          <w:szCs w:val="32"/>
        </w:rPr>
        <w:t>一是社会民生事业有序发展。</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街道已办理临时生活救助46人；大病医疗救助190人；享受低保共1139人，新增城市低保39人，退出28人，发放低保金428.5407万元。城镇居民医疗保险参保12342人，完成退休人员养老保险资格认证4682人，办理失业证161人，办理征地转非失业保险193人；辖区8个社区全部开通金保网，为辖区百姓提供更高效便捷的便民服务。</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sz w:val="32"/>
          <w:szCs w:val="32"/>
        </w:rPr>
        <w:t>切实抓好人口普查工作。</w:t>
      </w:r>
      <w:r>
        <w:rPr>
          <w:rFonts w:hint="eastAsia" w:ascii="仿宋_GB2312" w:hAnsi="仿宋_GB2312" w:eastAsia="仿宋_GB2312" w:cs="仿宋_GB2312"/>
          <w:bCs/>
          <w:sz w:val="32"/>
          <w:szCs w:val="32"/>
        </w:rPr>
        <w:t>下西是此次人口普查任务最重的地方，是开发区人口普查的主战场，辖区常住人口超开发区一半，集体户、空挂户多，普查任务重、难度大，街道</w:t>
      </w:r>
      <w:r>
        <w:rPr>
          <w:rFonts w:hint="eastAsia" w:ascii="仿宋_GB2312" w:hAnsi="仿宋_GB2312" w:eastAsia="仿宋_GB2312" w:cs="仿宋_GB2312"/>
          <w:sz w:val="32"/>
          <w:szCs w:val="32"/>
        </w:rPr>
        <w:t>强化责任，全员行动，普查工作有力有序开展，在短表普查阶段走在了全区前列，长表普查正有序开展。</w:t>
      </w:r>
      <w:r>
        <w:rPr>
          <w:rFonts w:hint="eastAsia" w:ascii="仿宋_GB2312" w:hAnsi="仿宋_GB2312" w:eastAsia="仿宋_GB2312" w:cs="仿宋_GB2312"/>
          <w:b/>
          <w:bCs/>
          <w:sz w:val="32"/>
          <w:szCs w:val="32"/>
        </w:rPr>
        <w:t>三是脱贫成果进一步巩固。</w:t>
      </w:r>
      <w:r>
        <w:rPr>
          <w:rFonts w:hint="eastAsia" w:ascii="仿宋_GB2312" w:hAnsi="仿宋_GB2312" w:eastAsia="仿宋_GB2312" w:cs="仿宋_GB2312"/>
          <w:sz w:val="32"/>
          <w:szCs w:val="32"/>
        </w:rPr>
        <w:t>强化“六个一”帮扶力度，做实返贫预警监测，并全面梳理2014年以来扶贫资金、扶贫项目，对前期检查反馈问题进行了回头看，脱贫攻坚调查等重点工作任务圆满完成，脱贫攻坚各级检查验收顺利通过。</w:t>
      </w:r>
    </w:p>
    <w:p>
      <w:pPr>
        <w:spacing w:line="554" w:lineRule="exact"/>
        <w:ind w:firstLine="643" w:firstLineChars="200"/>
        <w:jc w:val="left"/>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rPr>
        <w:t>（五）社会治理展现新面貌。</w:t>
      </w:r>
      <w:r>
        <w:rPr>
          <w:rFonts w:hint="eastAsia" w:ascii="仿宋_GB2312" w:hAnsi="仿宋_GB2312" w:eastAsia="仿宋_GB2312" w:cs="仿宋_GB2312"/>
          <w:b/>
          <w:bCs/>
          <w:sz w:val="32"/>
          <w:szCs w:val="32"/>
        </w:rPr>
        <w:t>一是和谐稳定局面凸显。</w:t>
      </w:r>
      <w:r>
        <w:rPr>
          <w:rFonts w:hint="eastAsia" w:ascii="仿宋_GB2312" w:hAnsi="仿宋_GB2312" w:eastAsia="仿宋_GB2312" w:cs="仿宋_GB2312"/>
          <w:sz w:val="32"/>
          <w:szCs w:val="32"/>
        </w:rPr>
        <w:t>街道通过信访联席会议，落实领导坐班接访等一系列措施，实现将涉稳问题处置在萌芽，涉稳对象稳控在当地。今年共计调查处理回复各类信访件13件，同比下降43.7%，信访件受理率达100%，按时处理率达100%。同时，强力推进全国禁毒示范城市建设工作,建立健全禁毒工作长效机制，始终保持对毒品违法犯罪严打、严防、严控的高压态势。持续推进扫黑除恶专项行动，</w:t>
      </w:r>
      <w:r>
        <w:rPr>
          <w:rFonts w:hint="eastAsia" w:ascii="仿宋_GB2312" w:hAnsi="仿宋_GB2312" w:eastAsia="仿宋_GB2312" w:cs="仿宋_GB2312"/>
          <w:bCs/>
          <w:sz w:val="32"/>
          <w:szCs w:val="32"/>
        </w:rPr>
        <w:t>建立台账，落实责任。</w:t>
      </w:r>
      <w:r>
        <w:rPr>
          <w:rFonts w:hint="eastAsia" w:ascii="仿宋_GB2312" w:hAnsi="仿宋_GB2312" w:eastAsia="仿宋_GB2312" w:cs="仿宋_GB2312"/>
          <w:b/>
          <w:bCs/>
          <w:sz w:val="32"/>
          <w:szCs w:val="32"/>
        </w:rPr>
        <w:t>二是安全生产工作常抓不懈。</w:t>
      </w:r>
      <w:r>
        <w:rPr>
          <w:rFonts w:hint="eastAsia" w:ascii="仿宋_GB2312" w:hAnsi="仿宋_GB2312" w:eastAsia="仿宋_GB2312" w:cs="仿宋_GB2312"/>
          <w:sz w:val="32"/>
          <w:szCs w:val="32"/>
        </w:rPr>
        <w:t>严格安全生产责任制，制定了安全生产领导责任清单、部门行业安全责任清单以及社区属地安全生产责任清单，有效落实属地安全责任，做到安全检查两个“全覆盖”，全年共开展全面检查11次，专项检查9次，检查企事业单位1200余家次，整治重大隐患5处，一般隐患800余处，并顺利通过省级安全社区复评迎检工作。</w:t>
      </w:r>
      <w:r>
        <w:rPr>
          <w:rFonts w:hint="eastAsia" w:ascii="仿宋_GB2312" w:hAnsi="仿宋_GB2312" w:eastAsia="仿宋_GB2312" w:cs="仿宋_GB2312"/>
          <w:b/>
          <w:bCs/>
          <w:sz w:val="32"/>
          <w:szCs w:val="32"/>
        </w:rPr>
        <w:t>三是依法治理工作深入推进。</w:t>
      </w:r>
      <w:r>
        <w:rPr>
          <w:rFonts w:hint="eastAsia" w:ascii="仿宋_GB2312" w:hAnsi="仿宋_GB2312" w:eastAsia="仿宋_GB2312" w:cs="仿宋_GB2312"/>
          <w:sz w:val="32"/>
          <w:szCs w:val="32"/>
        </w:rPr>
        <w:t>积极开展普法宣传教育，开展集中宣传活动18场，</w:t>
      </w:r>
      <w:r>
        <w:rPr>
          <w:rFonts w:hint="eastAsia" w:ascii="仿宋_GB2312" w:eastAsia="仿宋_GB2312"/>
          <w:sz w:val="32"/>
          <w:szCs w:val="32"/>
        </w:rPr>
        <w:t>街道、社区公共法律服务站（室）推送民事案例及各类法律知识1300余条，接受法律咨询（电话、微信咨询）80余次，组织开展法律宣讲和法治讲座6次，建设树仁社区法治广场1个。</w:t>
      </w:r>
    </w:p>
    <w:p>
      <w:pPr>
        <w:spacing w:line="554"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（六）疫情防控精准到位。</w:t>
      </w:r>
      <w:r>
        <w:rPr>
          <w:rFonts w:hint="eastAsia" w:ascii="仿宋_GB2312" w:hAnsi="仿宋_GB2312" w:eastAsia="仿宋_GB2312" w:cs="仿宋_GB2312"/>
          <w:b/>
          <w:bCs/>
          <w:sz w:val="32"/>
          <w:szCs w:val="32"/>
        </w:rPr>
        <w:t>一是防控责任落实有效。</w:t>
      </w:r>
      <w:r>
        <w:rPr>
          <w:rFonts w:hint="eastAsia" w:ascii="仿宋_GB2312" w:hAnsi="仿宋_GB2312" w:eastAsia="仿宋_GB2312" w:cs="仿宋_GB2312"/>
          <w:sz w:val="32"/>
          <w:szCs w:val="32"/>
        </w:rPr>
        <w:t>街道成立了疫情防控领导小组，科学制定工作方案，建立了街道、社区、组三级联防联控工作机制，组建了10支80名党员组成的党员突击队，对高、中风险地区进行全面排查，形成了责任明确、狠抓落实的良好工作局面。</w:t>
      </w:r>
      <w:r>
        <w:rPr>
          <w:rFonts w:hint="eastAsia" w:ascii="仿宋_GB2312" w:hAnsi="仿宋_GB2312" w:eastAsia="仿宋_GB2312" w:cs="仿宋_GB2312"/>
          <w:b/>
          <w:bCs/>
          <w:sz w:val="32"/>
          <w:szCs w:val="32"/>
        </w:rPr>
        <w:t>二是积极宣传动员。</w:t>
      </w:r>
      <w:r>
        <w:rPr>
          <w:rFonts w:hint="eastAsia" w:ascii="仿宋_GB2312" w:hAnsi="仿宋_GB2312" w:eastAsia="仿宋_GB2312" w:cs="仿宋_GB2312"/>
          <w:sz w:val="32"/>
          <w:szCs w:val="32"/>
        </w:rPr>
        <w:t>充分利用LED屏、宣传单、广播等载体，广泛开展防控知识宣传及疫情防控相关法律法规、公告公示宣传，做到家喻户晓，人人皆知。</w:t>
      </w:r>
      <w:r>
        <w:rPr>
          <w:rFonts w:hint="eastAsia" w:ascii="仿宋_GB2312" w:hAnsi="仿宋_GB2312" w:eastAsia="仿宋_GB2312" w:cs="仿宋_GB2312"/>
          <w:b/>
          <w:bCs/>
          <w:sz w:val="32"/>
          <w:szCs w:val="32"/>
        </w:rPr>
        <w:t>三是常态化开展防控</w:t>
      </w:r>
      <w:r>
        <w:rPr>
          <w:rFonts w:hint="eastAsia" w:ascii="仿宋_GB2312" w:hAnsi="仿宋_GB2312" w:eastAsia="仿宋_GB2312" w:cs="仿宋_GB2312"/>
          <w:sz w:val="32"/>
          <w:szCs w:val="32"/>
        </w:rPr>
        <w:t>。认真落实属地管理责任，动态开展高、中风险地区及境外来（返）广人员排查，认真执行“健康码”管理制度。截止目前，已排查高中风险区及境外来（返）广人256人。现辖区有集中隔离2人、居家医学健康观察9人。</w:t>
      </w:r>
    </w:p>
    <w:p>
      <w:pPr>
        <w:spacing w:line="554" w:lineRule="exact"/>
        <w:ind w:firstLine="643" w:firstLineChars="200"/>
        <w:jc w:val="left"/>
        <w:rPr>
          <w:rFonts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rPr>
        <w:t>（七）党的建设实现新加强。</w:t>
      </w:r>
      <w:r>
        <w:rPr>
          <w:rFonts w:hint="eastAsia" w:ascii="仿宋_GB2312" w:hAnsi="仿宋_GB2312" w:eastAsia="仿宋_GB2312" w:cs="仿宋_GB2312"/>
          <w:b/>
          <w:sz w:val="32"/>
          <w:szCs w:val="32"/>
        </w:rPr>
        <w:t>一是严格落实党建责任制。</w:t>
      </w:r>
      <w:r>
        <w:rPr>
          <w:rFonts w:hint="eastAsia" w:ascii="仿宋_GB2312" w:hAnsi="仿宋_GB2312" w:eastAsia="仿宋_GB2312" w:cs="仿宋_GB2312"/>
          <w:bCs/>
          <w:sz w:val="32"/>
          <w:szCs w:val="32"/>
        </w:rPr>
        <w:t>牢固树立抓党建“主业”意识，全年专题研究党建工作5次，召开党建工作现场推进会2次。切实加强高素质党员队伍的建设，今年来培养积极分子16人，新发展党员8人，预备党员转正11人。</w:t>
      </w:r>
      <w:r>
        <w:rPr>
          <w:rFonts w:hint="eastAsia" w:ascii="仿宋_GB2312" w:hAnsi="仿宋_GB2312" w:eastAsia="仿宋_GB2312" w:cs="仿宋_GB2312"/>
          <w:b/>
          <w:sz w:val="32"/>
          <w:szCs w:val="32"/>
        </w:rPr>
        <w:t>二是扎实推进基层党组织示范建设。</w:t>
      </w:r>
      <w:r>
        <w:rPr>
          <w:rFonts w:hint="eastAsia" w:ascii="仿宋_GB2312" w:hAnsi="仿宋_GB2312" w:eastAsia="仿宋_GB2312" w:cs="仿宋_GB2312"/>
          <w:bCs/>
          <w:sz w:val="32"/>
          <w:szCs w:val="32"/>
        </w:rPr>
        <w:t>街道坚持分类指导、重点突破、整体推进原则，进一步强化党建示范引领作用，在八一社区、铁路社区、树仁社区、南陵社区、活力社区实施亲民化改造，在下西小区、维多利亚小区打造全市党建示范小区。目前，5个社区亲民化改造已全部完成，2个示范小区创建正稳步推进。</w:t>
      </w:r>
      <w:r>
        <w:rPr>
          <w:rFonts w:hint="eastAsia" w:ascii="仿宋_GB2312" w:hAnsi="仿宋_GB2312" w:eastAsia="仿宋_GB2312" w:cs="仿宋_GB2312"/>
          <w:b/>
          <w:sz w:val="32"/>
          <w:szCs w:val="32"/>
        </w:rPr>
        <w:t>三是强化党风廉政建设。</w:t>
      </w:r>
      <w:r>
        <w:rPr>
          <w:rFonts w:hint="eastAsia" w:ascii="仿宋_GB2312" w:hAnsi="仿宋_GB2312" w:eastAsia="仿宋_GB2312" w:cs="仿宋_GB2312"/>
          <w:bCs/>
          <w:sz w:val="32"/>
          <w:szCs w:val="32"/>
        </w:rPr>
        <w:t>认真落实“两个责任”，今年专题研究党风廉政建设工作5次，持续开展“作风纪律深化年”活动，紧盯法定节假日期间“四风”问题，开展“四风”督查。全年立案5起，完成上级交办信访件11起。</w:t>
      </w:r>
      <w:r>
        <w:rPr>
          <w:rFonts w:hint="eastAsia" w:ascii="仿宋_GB2312" w:hAnsi="仿宋_GB2312" w:eastAsia="仿宋_GB2312" w:cs="仿宋_GB2312"/>
          <w:sz w:val="32"/>
          <w:szCs w:val="32"/>
        </w:rPr>
        <w:t>建立落实“三张清单”，提升治理效能。完成了树仁社区廉政文化广场打造工作，到各社区开展带案下访暨《检举控告工作规则》宣传进社区活动。</w:t>
      </w:r>
      <w:r>
        <w:rPr>
          <w:rFonts w:hint="eastAsia" w:ascii="仿宋_GB2312" w:hAnsi="仿宋_GB2312" w:eastAsia="仿宋_GB2312" w:cs="仿宋_GB2312"/>
          <w:b/>
          <w:bCs/>
          <w:sz w:val="32"/>
          <w:szCs w:val="32"/>
        </w:rPr>
        <w:t>四是基层治理有力有效。</w:t>
      </w:r>
      <w:r>
        <w:rPr>
          <w:rFonts w:hint="eastAsia" w:ascii="仿宋_GB2312" w:hAnsi="仿宋_GB2312" w:eastAsia="仿宋_GB2312" w:cs="仿宋_GB2312"/>
          <w:sz w:val="32"/>
          <w:szCs w:val="32"/>
        </w:rPr>
        <w:t>街道因地制宜，探索出基层治理“三三三”、“四治五联”工作法、“初心茶馆”等系列品牌，采取多种方式激发党员身份意识和引领意识，以党员服务凝聚民心，以组织引领汇聚党心，并常态化的开展“小街问事”，进一步提升基层治理能力。</w:t>
      </w:r>
    </w:p>
    <w:p>
      <w:pPr>
        <w:pStyle w:val="2"/>
        <w:adjustRightInd w:val="0"/>
        <w:snapToGrid w:val="0"/>
        <w:spacing w:beforeLines="0" w:line="560" w:lineRule="exact"/>
        <w:ind w:firstLine="672" w:firstLineChars="210"/>
        <w:rPr>
          <w:color w:val="000000"/>
          <w:sz w:val="32"/>
          <w:szCs w:val="32"/>
        </w:rPr>
      </w:pPr>
    </w:p>
    <w:bookmarkEnd w:id="18"/>
    <w:bookmarkEnd w:id="19"/>
    <w:p>
      <w:pPr>
        <w:pStyle w:val="4"/>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Style w:val="29"/>
        <w:spacing w:line="490" w:lineRule="exact"/>
        <w:ind w:firstLine="640" w:firstLineChars="200"/>
        <w:jc w:val="left"/>
        <w:rPr>
          <w:rFonts w:ascii="仿宋_GB2312" w:hAnsi="仿宋_GB2312" w:eastAsia="仿宋_GB2312" w:cs="仿宋_GB2312"/>
          <w:sz w:val="32"/>
          <w:szCs w:val="32"/>
        </w:rPr>
      </w:pPr>
      <w:bookmarkStart w:id="22" w:name="_Toc15377204"/>
      <w:bookmarkStart w:id="23" w:name="_Toc15396602"/>
      <w:r>
        <w:rPr>
          <w:rFonts w:hint="eastAsia" w:ascii="仿宋_GB2312" w:eastAsia="仿宋_GB2312" w:cs="仿宋_GB2312"/>
          <w:sz w:val="32"/>
          <w:szCs w:val="32"/>
        </w:rPr>
        <w:t>下西坝街道办事处地处广元市城区以西，幅员面积</w:t>
      </w:r>
      <w:r>
        <w:rPr>
          <w:rFonts w:ascii="仿宋_GB2312" w:eastAsia="仿宋_GB2312" w:cs="仿宋_GB2312"/>
          <w:sz w:val="32"/>
          <w:szCs w:val="32"/>
        </w:rPr>
        <w:t>12.6</w:t>
      </w:r>
      <w:r>
        <w:rPr>
          <w:rFonts w:hint="eastAsia" w:ascii="仿宋_GB2312" w:eastAsia="仿宋_GB2312" w:cs="仿宋_GB2312"/>
          <w:sz w:val="32"/>
          <w:szCs w:val="32"/>
        </w:rPr>
        <w:t>平方公里，下辖8个社区（八一社区、下西社区、活力社区、王家营社区、南陵社区、曾家营社区、树仁社区、铁路社区、）。</w:t>
      </w:r>
      <w:r>
        <w:rPr>
          <w:rFonts w:hint="eastAsia" w:ascii="仿宋_GB2312" w:hAnsi="仿宋_GB2312" w:eastAsia="仿宋_GB2312" w:cs="仿宋_GB2312"/>
          <w:sz w:val="32"/>
          <w:szCs w:val="32"/>
        </w:rPr>
        <w:t>实际财政供养总人数34人，其中：在职正式人员14名，聘用人员20名。</w:t>
      </w:r>
    </w:p>
    <w:p>
      <w:pPr>
        <w:pStyle w:val="3"/>
        <w:ind w:right="440"/>
        <w:jc w:val="right"/>
        <w:rPr>
          <w:rStyle w:val="24"/>
          <w:rFonts w:ascii="黑体" w:hAnsi="黑体" w:eastAsia="黑体"/>
          <w:b w:val="0"/>
          <w:bCs w:val="0"/>
        </w:rPr>
      </w:pPr>
      <w:r>
        <w:rPr>
          <w:rFonts w:hint="eastAsia" w:ascii="黑体" w:hAnsi="黑体" w:eastAsia="黑体"/>
          <w:b w:val="0"/>
          <w:color w:val="000000"/>
        </w:rPr>
        <w:t>第二部分</w:t>
      </w:r>
      <w:r>
        <w:rPr>
          <w:rStyle w:val="24"/>
          <w:rFonts w:hint="eastAsia" w:ascii="黑体" w:hAnsi="黑体" w:eastAsia="黑体"/>
          <w:b w:val="0"/>
          <w:bCs w:val="0"/>
        </w:rPr>
        <w:t>2020年度部门决算情况说明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2020年度收、支总计1413.9万元。与2019年相比，收、支总计增加557.53万元，上升39.43</w:t>
      </w:r>
      <w:r>
        <w:rPr>
          <w:rFonts w:ascii="仿宋" w:hAnsi="仿宋" w:eastAsia="仿宋"/>
          <w:sz w:val="32"/>
          <w:szCs w:val="32"/>
        </w:rPr>
        <w:t>%</w:t>
      </w:r>
      <w:r>
        <w:rPr>
          <w:rFonts w:hint="eastAsia" w:ascii="仿宋" w:hAnsi="仿宋" w:eastAsia="仿宋"/>
          <w:sz w:val="32"/>
          <w:szCs w:val="32"/>
        </w:rPr>
        <w:t>。主要变动原因是2020年新增老旧小区改造项目。</w:t>
      </w:r>
    </w:p>
    <w:p>
      <w:pPr>
        <w:spacing w:line="600" w:lineRule="exact"/>
        <w:ind w:firstLine="640" w:firstLineChars="200"/>
        <w:jc w:val="left"/>
        <w:rPr>
          <w:rFonts w:ascii="仿宋_GB2312" w:eastAsia="仿宋_GB2312"/>
          <w:color w:val="00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2020年本年收入合计1413.9万元，其中：一般公共预算财政拨款收入1413.9万元，占100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2"/>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rPr>
        <w:t>2020年本年支出合计1413.9万元，其中：基本支出313.45万元，占22.17</w:t>
      </w:r>
      <w:r>
        <w:rPr>
          <w:rFonts w:ascii="仿宋" w:hAnsi="仿宋" w:eastAsia="仿宋"/>
          <w:color w:val="000000"/>
          <w:sz w:val="32"/>
          <w:szCs w:val="32"/>
        </w:rPr>
        <w:t>%</w:t>
      </w:r>
      <w:r>
        <w:rPr>
          <w:rFonts w:hint="eastAsia" w:ascii="仿宋" w:hAnsi="仿宋" w:eastAsia="仿宋"/>
          <w:color w:val="000000"/>
          <w:sz w:val="32"/>
          <w:szCs w:val="32"/>
        </w:rPr>
        <w:t>；项目支出1100.45万元，占77.83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t>2020年财政拨款收、支总计1413.9万元。与2019年相比，财政拨款收、支总计</w:t>
      </w:r>
      <w:r>
        <w:rPr>
          <w:rFonts w:hint="eastAsia" w:ascii="仿宋" w:hAnsi="仿宋" w:eastAsia="仿宋"/>
          <w:sz w:val="32"/>
          <w:szCs w:val="32"/>
        </w:rPr>
        <w:t>各增加557.53万元，上升39.43</w:t>
      </w:r>
      <w:r>
        <w:rPr>
          <w:rFonts w:ascii="仿宋" w:hAnsi="仿宋" w:eastAsia="仿宋"/>
          <w:sz w:val="32"/>
          <w:szCs w:val="32"/>
        </w:rPr>
        <w:t>%</w:t>
      </w:r>
      <w:r>
        <w:rPr>
          <w:rFonts w:hint="eastAsia" w:ascii="仿宋" w:hAnsi="仿宋" w:eastAsia="仿宋"/>
          <w:sz w:val="32"/>
          <w:szCs w:val="32"/>
        </w:rPr>
        <w:t>。主要变动原因是2020年新增老旧小区改造项目。</w:t>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t>2020年一般公共预算财政拨款支出1413.9万元，占本年支出合计的100</w:t>
      </w:r>
      <w:r>
        <w:rPr>
          <w:rFonts w:ascii="仿宋" w:hAnsi="仿宋" w:eastAsia="仿宋"/>
          <w:color w:val="000000"/>
          <w:sz w:val="32"/>
          <w:szCs w:val="32"/>
        </w:rPr>
        <w:t>%</w:t>
      </w:r>
      <w:r>
        <w:rPr>
          <w:rFonts w:hint="eastAsia" w:ascii="仿宋" w:hAnsi="仿宋" w:eastAsia="仿宋"/>
          <w:color w:val="000000"/>
          <w:sz w:val="32"/>
          <w:szCs w:val="32"/>
        </w:rPr>
        <w:t>。与2019年相比，一般公共预算财政拨</w:t>
      </w:r>
      <w:r>
        <w:rPr>
          <w:rFonts w:hint="eastAsia" w:ascii="仿宋" w:hAnsi="仿宋" w:eastAsia="仿宋"/>
          <w:sz w:val="32"/>
          <w:szCs w:val="32"/>
        </w:rPr>
        <w:t>款增加557.53万元，上升39.43</w:t>
      </w:r>
      <w:r>
        <w:rPr>
          <w:rFonts w:ascii="仿宋" w:hAnsi="仿宋" w:eastAsia="仿宋"/>
          <w:sz w:val="32"/>
          <w:szCs w:val="32"/>
        </w:rPr>
        <w:t>%</w:t>
      </w:r>
      <w:r>
        <w:rPr>
          <w:rFonts w:hint="eastAsia" w:ascii="仿宋" w:hAnsi="仿宋" w:eastAsia="仿宋"/>
          <w:sz w:val="32"/>
          <w:szCs w:val="32"/>
        </w:rPr>
        <w:t>。主要变动原因是2020年新增老旧小区改造项目。</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2020年一般公共预算财</w:t>
      </w:r>
      <w:r>
        <w:rPr>
          <w:rFonts w:hint="eastAsia" w:ascii="仿宋" w:hAnsi="仿宋" w:eastAsia="仿宋"/>
          <w:color w:val="000000" w:themeColor="text1"/>
          <w:sz w:val="32"/>
          <w:szCs w:val="32"/>
        </w:rPr>
        <w:t>政拨款支出1413.9万元，</w:t>
      </w:r>
      <w:r>
        <w:rPr>
          <w:rFonts w:hint="eastAsia" w:ascii="仿宋_GB2312" w:hAnsi="仿宋_GB2312" w:eastAsia="仿宋_GB2312" w:cs="仿宋_GB2312"/>
          <w:color w:val="000000"/>
          <w:sz w:val="32"/>
          <w:szCs w:val="32"/>
        </w:rPr>
        <w:t>主要用于以下方面:一般公共服务支出409.06万元，占28.93%；公共安全支出28万元，占1.98%；社会保障和就业支出33.39万元，占2.36%；医疗卫生支出22.94万元，占1.62%；节能环保支出28.5万元，占2.01%；城乡社区支出5万元，占0.35%；农林水支出340.36万元，占24.07%；交通运输支出1万元，占0.07%；住房保障支出531.53万元，占37.59%；灾害防治及应急管理支出14.12万元，占0.99%；　　　　　　</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Style w:val="14"/>
          <w:rFonts w:ascii="仿宋" w:hAnsi="仿宋" w:eastAsia="仿宋"/>
          <w:bCs/>
          <w:color w:val="00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2020年般公共预算支出决算数为1413.9</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outlineLvl w:val="2"/>
        <w:rPr>
          <w:rStyle w:val="14"/>
          <w:rFonts w:ascii="仿宋" w:hAnsi="仿宋" w:eastAsia="仿宋"/>
          <w:bCs/>
          <w:color w:val="000000"/>
          <w:sz w:val="32"/>
          <w:szCs w:val="32"/>
        </w:rPr>
      </w:pPr>
      <w:r>
        <w:rPr>
          <w:rFonts w:hint="eastAsia" w:ascii="楷体_GB2312" w:hAnsi="楷体_GB2312" w:eastAsia="楷体_GB2312" w:cs="楷体_GB2312"/>
          <w:b/>
          <w:bCs/>
          <w:color w:val="000000"/>
          <w:sz w:val="32"/>
          <w:szCs w:val="32"/>
        </w:rPr>
        <w:t>（一）</w:t>
      </w:r>
      <w:r>
        <w:rPr>
          <w:rFonts w:hint="eastAsia" w:ascii="仿宋_GB2312" w:hAnsi="仿宋_GB2312" w:eastAsia="仿宋_GB2312" w:cs="仿宋_GB2312"/>
          <w:b/>
          <w:bCs/>
          <w:kern w:val="0"/>
          <w:sz w:val="32"/>
          <w:szCs w:val="32"/>
        </w:rPr>
        <w:t>一般公共服务支出</w:t>
      </w:r>
      <w:r>
        <w:rPr>
          <w:rFonts w:hint="eastAsia" w:ascii="楷体_GB2312" w:hAnsi="楷体_GB2312" w:eastAsia="楷体_GB2312" w:cs="楷体_GB2312"/>
          <w:b/>
          <w:bCs/>
          <w:color w:val="000000"/>
          <w:sz w:val="32"/>
          <w:szCs w:val="32"/>
        </w:rPr>
        <w:t>（类）201，支出决算为409.06万元，完成预算</w:t>
      </w:r>
      <w:r>
        <w:rPr>
          <w:rStyle w:val="14"/>
          <w:rFonts w:hint="eastAsia" w:ascii="仿宋_GB2312" w:eastAsia="仿宋_GB2312"/>
          <w:bCs/>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Style w:val="21"/>
          <w:rFonts w:hint="eastAsia"/>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一般公共服务支出（类）201政府办公厅（室）及相关机构事务（款）03行政运行（项）01</w:t>
      </w:r>
      <w:r>
        <w:rPr>
          <w:rStyle w:val="14"/>
          <w:rFonts w:hint="eastAsia"/>
          <w:color w:val="000000"/>
          <w:sz w:val="32"/>
          <w:szCs w:val="32"/>
        </w:rPr>
        <w:t>:支出决算为</w:t>
      </w:r>
      <w:r>
        <w:rPr>
          <w:rStyle w:val="14"/>
          <w:rFonts w:hint="eastAsia" w:ascii="仿宋_GB2312" w:eastAsia="仿宋_GB2312"/>
          <w:b w:val="0"/>
          <w:color w:val="000000"/>
          <w:sz w:val="32"/>
          <w:szCs w:val="32"/>
        </w:rPr>
        <w:t>238.8万元，完成预算100%。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hAnsi="仿宋_GB2312" w:eastAsia="仿宋_GB2312" w:cs="仿宋_GB2312"/>
          <w:kern w:val="0"/>
          <w:sz w:val="32"/>
          <w:szCs w:val="32"/>
        </w:rPr>
        <w:t>一般公共服务支出</w:t>
      </w:r>
      <w:r>
        <w:rPr>
          <w:rStyle w:val="14"/>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4"/>
          <w:rFonts w:hint="eastAsia" w:ascii="仿宋_GB2312" w:eastAsia="仿宋_GB2312"/>
          <w:b w:val="0"/>
          <w:color w:val="000000"/>
          <w:sz w:val="32"/>
          <w:szCs w:val="32"/>
        </w:rPr>
        <w:t>03（项）02一般行政管理事务：支出决算为15.81万元，完成预算100%。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仿宋_GB2312" w:hAnsi="仿宋_GB2312" w:eastAsia="仿宋_GB2312" w:cs="仿宋_GB2312"/>
          <w:kern w:val="0"/>
          <w:sz w:val="32"/>
          <w:szCs w:val="32"/>
        </w:rPr>
        <w:t>一般公共服务支出</w:t>
      </w:r>
      <w:r>
        <w:rPr>
          <w:rStyle w:val="14"/>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4"/>
          <w:rFonts w:hint="eastAsia" w:ascii="仿宋_GB2312" w:eastAsia="仿宋_GB2312"/>
          <w:b w:val="0"/>
          <w:color w:val="000000"/>
          <w:sz w:val="32"/>
          <w:szCs w:val="32"/>
        </w:rPr>
        <w:t>03（项）专项业务活动05：支出决算为1万元，完成预算100%。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4、</w:t>
      </w:r>
      <w:r>
        <w:rPr>
          <w:rFonts w:hint="eastAsia" w:ascii="仿宋_GB2312" w:hAnsi="仿宋_GB2312" w:eastAsia="仿宋_GB2312" w:cs="仿宋_GB2312"/>
          <w:kern w:val="0"/>
          <w:sz w:val="32"/>
          <w:szCs w:val="32"/>
        </w:rPr>
        <w:t>一般公共服务支出（类）201发展与改革事务（款）04</w:t>
      </w:r>
      <w:r>
        <w:rPr>
          <w:rFonts w:hint="eastAsia" w:ascii="仿宋_GB2312" w:eastAsia="仿宋_GB2312"/>
          <w:color w:val="000000"/>
          <w:sz w:val="32"/>
          <w:szCs w:val="32"/>
        </w:rPr>
        <w:t>日常经济运行调节（项）05</w:t>
      </w:r>
      <w:r>
        <w:rPr>
          <w:rStyle w:val="14"/>
          <w:rFonts w:hint="eastAsia"/>
          <w:color w:val="000000"/>
          <w:sz w:val="32"/>
          <w:szCs w:val="32"/>
        </w:rPr>
        <w:t>：</w:t>
      </w:r>
      <w:r>
        <w:rPr>
          <w:rStyle w:val="14"/>
          <w:rFonts w:hint="eastAsia" w:ascii="仿宋_GB2312" w:eastAsia="仿宋_GB2312"/>
          <w:b w:val="0"/>
          <w:color w:val="000000"/>
          <w:sz w:val="32"/>
          <w:szCs w:val="32"/>
        </w:rPr>
        <w:t>支出决算为36万元，完成预算100%。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5、</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组织事务（款）11（项）一般行政事务管理02</w:t>
      </w:r>
      <w:r>
        <w:rPr>
          <w:rStyle w:val="14"/>
          <w:rFonts w:hint="eastAsia" w:ascii="仿宋_GB2312" w:eastAsia="仿宋_GB2312"/>
          <w:b w:val="0"/>
          <w:color w:val="000000"/>
          <w:sz w:val="32"/>
          <w:szCs w:val="32"/>
        </w:rPr>
        <w:t>：支出决算为2万元，完成预算100%。</w:t>
      </w:r>
    </w:p>
    <w:p>
      <w:pPr>
        <w:spacing w:line="560" w:lineRule="exact"/>
        <w:ind w:firstLine="640"/>
        <w:rPr>
          <w:rStyle w:val="14"/>
          <w:rFonts w:ascii="仿宋_GB2312" w:eastAsia="仿宋_GB2312"/>
          <w:b w:val="0"/>
          <w:color w:val="000000"/>
          <w:sz w:val="32"/>
          <w:szCs w:val="32"/>
        </w:rPr>
      </w:pPr>
      <w:r>
        <w:rPr>
          <w:rFonts w:hint="eastAsia" w:ascii="仿宋_GB2312" w:hAnsi="仿宋_GB2312" w:eastAsia="仿宋_GB2312" w:cs="仿宋_GB2312"/>
          <w:kern w:val="0"/>
          <w:sz w:val="32"/>
          <w:szCs w:val="32"/>
        </w:rPr>
        <w:t>6、一般公共服务（类）201市场监督管理事务</w:t>
      </w:r>
      <w:r>
        <w:rPr>
          <w:rFonts w:hint="eastAsia" w:ascii="仿宋_GB2312" w:eastAsia="仿宋_GB2312"/>
          <w:color w:val="000000"/>
          <w:sz w:val="32"/>
          <w:szCs w:val="32"/>
        </w:rPr>
        <w:t>（款）38市场监督管理事务（项）16</w:t>
      </w:r>
      <w:r>
        <w:rPr>
          <w:rStyle w:val="14"/>
          <w:rFonts w:hint="eastAsia" w:ascii="仿宋_GB2312" w:eastAsia="仿宋_GB2312"/>
          <w:b w:val="0"/>
          <w:color w:val="000000"/>
          <w:sz w:val="32"/>
          <w:szCs w:val="32"/>
        </w:rPr>
        <w:t>：支出决算为2.5万元，完成预算100%。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7、</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w:t>
      </w:r>
      <w:r>
        <w:rPr>
          <w:rStyle w:val="14"/>
          <w:rFonts w:hint="eastAsia" w:ascii="仿宋_GB2312" w:eastAsia="仿宋_GB2312"/>
          <w:b w:val="0"/>
          <w:color w:val="000000"/>
          <w:sz w:val="32"/>
          <w:szCs w:val="32"/>
        </w:rPr>
        <w:t>：支出决算为112.95万元，完成预算100%。</w:t>
      </w:r>
    </w:p>
    <w:p>
      <w:pPr>
        <w:spacing w:line="560" w:lineRule="exact"/>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（二）公共安全支出（类）204，支出决算为28万元，完成预算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公共安全支出（类）204</w:t>
      </w:r>
      <w:r>
        <w:rPr>
          <w:rStyle w:val="14"/>
          <w:rFonts w:hint="eastAsia" w:ascii="仿宋_GB2312" w:eastAsia="仿宋_GB2312"/>
          <w:b w:val="0"/>
          <w:color w:val="000000"/>
          <w:sz w:val="32"/>
          <w:szCs w:val="32"/>
        </w:rPr>
        <w:t>（款）强制隔离戒毒08（项）其他强制隔离戒毒（项）99：支出决算为:9万元，完成预算100%。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公共安全支出（类）204国家安全（款）03其他国家安全支出（项）99</w:t>
      </w:r>
      <w:r>
        <w:rPr>
          <w:rStyle w:val="14"/>
          <w:rFonts w:hint="eastAsia" w:ascii="仿宋_GB2312" w:eastAsia="仿宋_GB2312"/>
          <w:b w:val="0"/>
          <w:color w:val="000000"/>
          <w:sz w:val="32"/>
          <w:szCs w:val="32"/>
        </w:rPr>
        <w:t>：支出决算为7万元，完成预算100%。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仿宋_GB2312" w:eastAsia="仿宋_GB2312"/>
          <w:color w:val="000000"/>
          <w:sz w:val="32"/>
          <w:szCs w:val="32"/>
        </w:rPr>
        <w:t>公共安全支出（类）204其他公共安全支出（款）99其他国家安全支出（项）01</w:t>
      </w:r>
      <w:r>
        <w:rPr>
          <w:rStyle w:val="14"/>
          <w:rFonts w:hint="eastAsia" w:ascii="仿宋_GB2312" w:eastAsia="仿宋_GB2312"/>
          <w:b w:val="0"/>
          <w:color w:val="000000"/>
          <w:sz w:val="32"/>
          <w:szCs w:val="32"/>
        </w:rPr>
        <w:t>：支出决算为12万元，完成预算100%。</w:t>
      </w:r>
    </w:p>
    <w:p>
      <w:pPr>
        <w:spacing w:line="560" w:lineRule="exact"/>
        <w:ind w:firstLine="64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（三）社会保障和就业支出（类）208，支出决算为33.39万元，完成预算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社会保障和就业支出（类）208行政事业单位离退休（款）05机关事业单位基本养老保险缴费支出（项）05</w:t>
      </w:r>
      <w:r>
        <w:rPr>
          <w:rStyle w:val="14"/>
          <w:rFonts w:hint="eastAsia" w:ascii="仿宋_GB2312" w:eastAsia="仿宋_GB2312"/>
          <w:b w:val="0"/>
          <w:color w:val="000000"/>
          <w:sz w:val="32"/>
          <w:szCs w:val="32"/>
        </w:rPr>
        <w:t>：支出决算为25.09万元，完成预算100%。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社会保障和就业支出（类）208行政事业单位离退休（款）05机关事业单位职业年金缴费支出（项）06</w:t>
      </w:r>
      <w:r>
        <w:rPr>
          <w:rStyle w:val="14"/>
          <w:rFonts w:hint="eastAsia" w:ascii="仿宋_GB2312" w:eastAsia="仿宋_GB2312"/>
          <w:b w:val="0"/>
          <w:color w:val="000000"/>
          <w:sz w:val="32"/>
          <w:szCs w:val="32"/>
        </w:rPr>
        <w:t>：支出决算为6.9万元，完成预算100%。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仿宋_GB2312" w:eastAsia="仿宋_GB2312"/>
          <w:color w:val="000000"/>
          <w:sz w:val="32"/>
          <w:szCs w:val="32"/>
        </w:rPr>
        <w:t>社会保障和就业支出（类）208行政事业单位离退休（款）05行政单位离退休（项）01</w:t>
      </w:r>
      <w:r>
        <w:rPr>
          <w:rStyle w:val="14"/>
          <w:rFonts w:hint="eastAsia" w:ascii="仿宋_GB2312" w:eastAsia="仿宋_GB2312"/>
          <w:b w:val="0"/>
          <w:color w:val="000000"/>
          <w:sz w:val="32"/>
          <w:szCs w:val="32"/>
        </w:rPr>
        <w:t>：支出决算为1.4万元，完成预算100%。</w:t>
      </w:r>
    </w:p>
    <w:p>
      <w:pPr>
        <w:spacing w:line="560" w:lineRule="exact"/>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（四）卫生健康支出（类）210，支出决算为22.94万元，完成预算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卫生健康支出</w:t>
      </w:r>
      <w:r>
        <w:rPr>
          <w:rFonts w:hint="eastAsia" w:ascii="仿宋_GB2312" w:eastAsia="仿宋_GB2312"/>
          <w:color w:val="000000"/>
          <w:sz w:val="32"/>
          <w:szCs w:val="32"/>
        </w:rPr>
        <w:t>（类）210行政事业单位医疗11（款）行政单位医疗（项）01</w:t>
      </w:r>
      <w:r>
        <w:rPr>
          <w:rStyle w:val="14"/>
          <w:rFonts w:hint="eastAsia" w:ascii="仿宋_GB2312" w:eastAsia="仿宋_GB2312"/>
          <w:b w:val="0"/>
          <w:color w:val="000000"/>
          <w:sz w:val="32"/>
          <w:szCs w:val="32"/>
        </w:rPr>
        <w:t>：支出决算为11.86元，完成预算100%。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楷体_GB2312" w:hAnsi="楷体_GB2312" w:eastAsia="楷体_GB2312" w:cs="楷体_GB2312"/>
          <w:color w:val="000000"/>
          <w:sz w:val="32"/>
          <w:szCs w:val="32"/>
        </w:rPr>
        <w:t>卫生健康支出</w:t>
      </w:r>
      <w:r>
        <w:rPr>
          <w:rFonts w:hint="eastAsia" w:ascii="仿宋_GB2312" w:eastAsia="仿宋_GB2312"/>
          <w:color w:val="000000"/>
          <w:sz w:val="32"/>
          <w:szCs w:val="32"/>
        </w:rPr>
        <w:t>（类）210公共卫生（款）04重大公共卫生服务（项）09</w:t>
      </w:r>
      <w:r>
        <w:rPr>
          <w:rStyle w:val="14"/>
          <w:rFonts w:hint="eastAsia" w:ascii="仿宋_GB2312" w:eastAsia="仿宋_GB2312"/>
          <w:b w:val="0"/>
          <w:color w:val="000000"/>
          <w:sz w:val="32"/>
          <w:szCs w:val="32"/>
        </w:rPr>
        <w:t>：支出决算为11.08万元，完成预算100%。</w:t>
      </w:r>
    </w:p>
    <w:p>
      <w:pPr>
        <w:spacing w:line="560" w:lineRule="exact"/>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（五）城乡社区支出（类）212，支出决算为5万元，完成预算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城乡社区支出（类）212城乡社区管理事务（款）01城管执法（项）04</w:t>
      </w:r>
      <w:r>
        <w:rPr>
          <w:rStyle w:val="14"/>
          <w:rFonts w:hint="eastAsia" w:ascii="仿宋_GB2312" w:eastAsia="仿宋_GB2312"/>
          <w:b w:val="0"/>
          <w:color w:val="000000"/>
          <w:sz w:val="32"/>
          <w:szCs w:val="32"/>
        </w:rPr>
        <w:t>：支出决算为1万元，完成预算100%。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城乡社区支出（类）212城乡社区环境卫生（款）05城乡社区环境卫生（项）01</w:t>
      </w:r>
      <w:r>
        <w:rPr>
          <w:rStyle w:val="14"/>
          <w:rFonts w:hint="eastAsia" w:ascii="仿宋_GB2312" w:eastAsia="仿宋_GB2312"/>
          <w:b w:val="0"/>
          <w:color w:val="000000"/>
          <w:sz w:val="32"/>
          <w:szCs w:val="32"/>
        </w:rPr>
        <w:t>：支出决算为4万元，完成预算100%。</w:t>
      </w:r>
    </w:p>
    <w:p>
      <w:pPr>
        <w:spacing w:line="560" w:lineRule="exact"/>
        <w:ind w:firstLine="64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（六）农林水支出（类）213，支出决算为340.36万元，完成预算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农林水支出（类）213农业（款）01病虫害控制（项）08</w:t>
      </w:r>
      <w:r>
        <w:rPr>
          <w:rStyle w:val="14"/>
          <w:rFonts w:hint="eastAsia" w:ascii="仿宋_GB2312" w:eastAsia="仿宋_GB2312"/>
          <w:b w:val="0"/>
          <w:color w:val="000000"/>
          <w:sz w:val="32"/>
          <w:szCs w:val="32"/>
        </w:rPr>
        <w:t>：支出决算为1万元，完成预算100%。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农林水支出（类）213林业（款）02林业防灾减灾（项）34</w:t>
      </w:r>
      <w:r>
        <w:rPr>
          <w:rStyle w:val="14"/>
          <w:rFonts w:hint="eastAsia" w:ascii="仿宋_GB2312" w:eastAsia="仿宋_GB2312"/>
          <w:b w:val="0"/>
          <w:color w:val="000000"/>
          <w:sz w:val="32"/>
          <w:szCs w:val="32"/>
        </w:rPr>
        <w:t>：支出决算为2万元，完成预算100%。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仿宋_GB2312" w:eastAsia="仿宋_GB2312"/>
          <w:color w:val="000000"/>
          <w:sz w:val="32"/>
          <w:szCs w:val="32"/>
        </w:rPr>
        <w:t>农林水支出（类）213水利（款）03防汛（项）14</w:t>
      </w:r>
      <w:r>
        <w:rPr>
          <w:rStyle w:val="14"/>
          <w:rFonts w:hint="eastAsia" w:ascii="仿宋_GB2312" w:eastAsia="仿宋_GB2312"/>
          <w:b w:val="0"/>
          <w:color w:val="000000"/>
          <w:sz w:val="32"/>
          <w:szCs w:val="32"/>
        </w:rPr>
        <w:t>：支出决算为1万元，完成预算100%。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4、</w:t>
      </w:r>
      <w:r>
        <w:rPr>
          <w:rFonts w:hint="eastAsia" w:ascii="仿宋_GB2312" w:eastAsia="仿宋_GB2312"/>
          <w:color w:val="000000"/>
          <w:sz w:val="32"/>
          <w:szCs w:val="32"/>
        </w:rPr>
        <w:t>农林水支出（类）213农村综合改革（款）07对村民委员会和村党支部的补助（项）05</w:t>
      </w:r>
      <w:r>
        <w:rPr>
          <w:rStyle w:val="14"/>
          <w:rFonts w:hint="eastAsia" w:ascii="仿宋_GB2312" w:eastAsia="仿宋_GB2312"/>
          <w:b w:val="0"/>
          <w:color w:val="000000"/>
          <w:sz w:val="32"/>
          <w:szCs w:val="32"/>
        </w:rPr>
        <w:t>：支出决算为336.36万元，完成预算100%。</w:t>
      </w:r>
    </w:p>
    <w:p>
      <w:pPr>
        <w:spacing w:line="560" w:lineRule="exact"/>
        <w:ind w:firstLine="320" w:firstLineChars="1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（七）交通运输支出（类）214，支出决算为1万元，完成预算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交通运输支出（类）214公路水路运输（款）01公路和运输安全（项）10</w:t>
      </w:r>
      <w:r>
        <w:rPr>
          <w:rStyle w:val="14"/>
          <w:rFonts w:hint="eastAsia" w:ascii="仿宋_GB2312" w:eastAsia="仿宋_GB2312"/>
          <w:b w:val="0"/>
          <w:color w:val="000000"/>
          <w:sz w:val="32"/>
          <w:szCs w:val="32"/>
        </w:rPr>
        <w:t>：支出决算为1万元，完成预算100%。</w:t>
      </w:r>
    </w:p>
    <w:p>
      <w:pPr>
        <w:spacing w:line="560" w:lineRule="exact"/>
        <w:ind w:firstLine="64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（八）灾害防治及应急管理支出（类）224，支出决算为14.12万元，完成预算</w:t>
      </w:r>
      <w:r>
        <w:rPr>
          <w:rStyle w:val="14"/>
          <w:rFonts w:hint="eastAsia" w:ascii="仿宋_GB2312" w:eastAsia="仿宋_GB2312"/>
          <w:b w:val="0"/>
          <w:color w:val="000000"/>
          <w:sz w:val="32"/>
          <w:szCs w:val="32"/>
        </w:rPr>
        <w:t>100%，其中：</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灾害防治及应急管理支出（类）224应急管理事务</w:t>
      </w:r>
      <w:r>
        <w:rPr>
          <w:rStyle w:val="14"/>
          <w:rFonts w:hint="eastAsia" w:ascii="仿宋_GB2312" w:eastAsia="仿宋_GB2312"/>
          <w:b w:val="0"/>
          <w:color w:val="000000"/>
          <w:sz w:val="32"/>
          <w:szCs w:val="32"/>
        </w:rPr>
        <w:t>（款）01一般行政管理事务（项）02：支出决算为3万元，完成预算100%。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楷体_GB2312" w:hAnsi="楷体_GB2312" w:eastAsia="楷体_GB2312" w:cs="楷体_GB2312"/>
          <w:color w:val="000000"/>
          <w:sz w:val="32"/>
          <w:szCs w:val="32"/>
        </w:rPr>
        <w:t>灾害防治及应急管理支出（类）224应急管理事务</w:t>
      </w:r>
      <w:r>
        <w:rPr>
          <w:rStyle w:val="14"/>
          <w:rFonts w:hint="eastAsia" w:ascii="仿宋_GB2312" w:eastAsia="仿宋_GB2312"/>
          <w:b w:val="0"/>
          <w:color w:val="000000"/>
          <w:sz w:val="32"/>
          <w:szCs w:val="32"/>
        </w:rPr>
        <w:t>（款）01安全监管（项）06：支出决算为1万元，完成预算100%。</w:t>
      </w: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楷体_GB2312" w:hAnsi="楷体_GB2312" w:eastAsia="楷体_GB2312" w:cs="楷体_GB2312"/>
          <w:color w:val="000000"/>
          <w:sz w:val="32"/>
          <w:szCs w:val="32"/>
        </w:rPr>
        <w:t>灾害防治及应急管理支出（类）224应自然灾害防治</w:t>
      </w:r>
      <w:r>
        <w:rPr>
          <w:rStyle w:val="14"/>
          <w:rFonts w:hint="eastAsia" w:ascii="仿宋_GB2312" w:eastAsia="仿宋_GB2312"/>
          <w:b w:val="0"/>
          <w:color w:val="000000"/>
          <w:sz w:val="32"/>
          <w:szCs w:val="32"/>
        </w:rPr>
        <w:t>（款）06其他自然灾害防治支出（项）99：支出决算为3.12万元，完成预算100%。</w:t>
      </w:r>
    </w:p>
    <w:p>
      <w:pPr>
        <w:spacing w:line="560" w:lineRule="exact"/>
        <w:ind w:firstLine="640"/>
        <w:rPr>
          <w:rStyle w:val="14"/>
          <w:rFonts w:ascii="仿宋_GB2312" w:eastAsia="仿宋_GB2312"/>
          <w:b w:val="0"/>
          <w:color w:val="000000"/>
          <w:sz w:val="32"/>
          <w:szCs w:val="32"/>
        </w:rPr>
      </w:pPr>
    </w:p>
    <w:p>
      <w:pPr>
        <w:spacing w:line="560" w:lineRule="exact"/>
        <w:ind w:firstLine="640"/>
        <w:rPr>
          <w:rStyle w:val="14"/>
          <w:rFonts w:ascii="仿宋_GB2312" w:eastAsia="仿宋_GB2312"/>
          <w:b w:val="0"/>
          <w:color w:val="000000"/>
          <w:sz w:val="32"/>
          <w:szCs w:val="32"/>
        </w:rPr>
      </w:pPr>
    </w:p>
    <w:p>
      <w:pPr>
        <w:spacing w:line="560" w:lineRule="exact"/>
        <w:ind w:firstLine="640"/>
        <w:rPr>
          <w:rStyle w:val="14"/>
          <w:rFonts w:ascii="仿宋_GB2312" w:eastAsia="仿宋_GB2312"/>
          <w:b w:val="0"/>
          <w:color w:val="000000"/>
          <w:sz w:val="32"/>
          <w:szCs w:val="32"/>
        </w:rPr>
      </w:pPr>
    </w:p>
    <w:p>
      <w:pPr>
        <w:spacing w:line="560" w:lineRule="exact"/>
        <w:ind w:firstLine="64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楷体_GB2312" w:hAnsi="楷体_GB2312" w:eastAsia="楷体_GB2312" w:cs="楷体_GB2312"/>
          <w:color w:val="000000"/>
          <w:sz w:val="32"/>
          <w:szCs w:val="32"/>
        </w:rPr>
        <w:t>灾害防治及应急管理支出（类）224自然灾害救灾及恢复重建支出</w:t>
      </w:r>
      <w:r>
        <w:rPr>
          <w:rStyle w:val="14"/>
          <w:rFonts w:hint="eastAsia" w:ascii="仿宋_GB2312" w:eastAsia="仿宋_GB2312"/>
          <w:b w:val="0"/>
          <w:color w:val="000000"/>
          <w:sz w:val="32"/>
          <w:szCs w:val="32"/>
        </w:rPr>
        <w:t>（款）07自然灾害救灾补助（项）03：支出决算为7万元，完成预算100%。</w:t>
      </w:r>
    </w:p>
    <w:p>
      <w:pPr>
        <w:spacing w:line="560" w:lineRule="exact"/>
        <w:ind w:firstLine="320" w:firstLineChars="1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（九）住房保障支出（类）221，支出决算为531.53万元，完成预算</w:t>
      </w:r>
      <w:r>
        <w:rPr>
          <w:rStyle w:val="14"/>
          <w:rFonts w:hint="eastAsia" w:ascii="仿宋_GB2312" w:eastAsia="仿宋_GB2312"/>
          <w:b w:val="0"/>
          <w:color w:val="000000"/>
          <w:sz w:val="32"/>
          <w:szCs w:val="32"/>
        </w:rPr>
        <w:t>100%，其中：</w:t>
      </w:r>
    </w:p>
    <w:p>
      <w:pPr>
        <w:spacing w:line="560" w:lineRule="exact"/>
        <w:ind w:firstLine="480" w:firstLineChars="15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仿宋_GB2312" w:eastAsia="仿宋_GB2312"/>
          <w:color w:val="000000"/>
          <w:sz w:val="32"/>
          <w:szCs w:val="32"/>
        </w:rPr>
        <w:t>住房保障支出（类）221住房改革支出（款）02住房公积金（项）01</w:t>
      </w:r>
      <w:r>
        <w:rPr>
          <w:rStyle w:val="14"/>
          <w:rFonts w:hint="eastAsia" w:ascii="仿宋_GB2312" w:eastAsia="仿宋_GB2312"/>
          <w:b w:val="0"/>
          <w:color w:val="000000"/>
          <w:sz w:val="32"/>
          <w:szCs w:val="32"/>
        </w:rPr>
        <w:t>：支出决算为30.79万元，完成预算100%。</w:t>
      </w:r>
    </w:p>
    <w:p>
      <w:pPr>
        <w:spacing w:line="560" w:lineRule="exact"/>
        <w:ind w:firstLine="480" w:firstLineChars="15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2、</w:t>
      </w:r>
      <w:r>
        <w:rPr>
          <w:rFonts w:hint="eastAsia" w:ascii="仿宋_GB2312" w:eastAsia="仿宋_GB2312"/>
          <w:color w:val="000000"/>
          <w:sz w:val="32"/>
          <w:szCs w:val="32"/>
        </w:rPr>
        <w:t>住房保障支出（类）221保障性安居工程支出（款）01老旧小区改造（项）08</w:t>
      </w:r>
      <w:r>
        <w:rPr>
          <w:rStyle w:val="14"/>
          <w:rFonts w:hint="eastAsia" w:ascii="仿宋_GB2312" w:eastAsia="仿宋_GB2312"/>
          <w:b w:val="0"/>
          <w:color w:val="000000"/>
          <w:sz w:val="32"/>
          <w:szCs w:val="32"/>
        </w:rPr>
        <w:t>：支出决算为245万元，完成预算100%。</w:t>
      </w:r>
    </w:p>
    <w:p>
      <w:pPr>
        <w:spacing w:line="560" w:lineRule="exact"/>
        <w:ind w:firstLine="480" w:firstLineChars="15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3、</w:t>
      </w:r>
      <w:r>
        <w:rPr>
          <w:rFonts w:hint="eastAsia" w:ascii="仿宋_GB2312" w:eastAsia="仿宋_GB2312"/>
          <w:color w:val="000000"/>
          <w:sz w:val="32"/>
          <w:szCs w:val="32"/>
        </w:rPr>
        <w:t>住房保障支出（类）221保障性安居工程支出（款）01其他保障性安居工程支出（项）99</w:t>
      </w:r>
      <w:r>
        <w:rPr>
          <w:rStyle w:val="14"/>
          <w:rFonts w:hint="eastAsia" w:ascii="仿宋_GB2312" w:eastAsia="仿宋_GB2312"/>
          <w:b w:val="0"/>
          <w:color w:val="000000"/>
          <w:sz w:val="32"/>
          <w:szCs w:val="32"/>
        </w:rPr>
        <w:t>：支出决算为255.73万元，完成预算100%。</w:t>
      </w:r>
    </w:p>
    <w:p>
      <w:pPr>
        <w:spacing w:line="560" w:lineRule="exact"/>
        <w:ind w:firstLine="320" w:firstLineChars="100"/>
        <w:rPr>
          <w:rStyle w:val="14"/>
          <w:rFonts w:ascii="仿宋_GB2312" w:eastAsia="仿宋_GB2312"/>
          <w:b w:val="0"/>
          <w:color w:val="000000"/>
          <w:sz w:val="32"/>
          <w:szCs w:val="32"/>
        </w:rPr>
      </w:pPr>
      <w:r>
        <w:rPr>
          <w:rFonts w:hint="eastAsia" w:ascii="楷体_GB2312" w:hAnsi="楷体_GB2312" w:eastAsia="楷体_GB2312" w:cs="楷体_GB2312"/>
          <w:color w:val="000000"/>
          <w:sz w:val="32"/>
          <w:szCs w:val="32"/>
        </w:rPr>
        <w:t>（十）节能环保支出（类）211，支出决算为28.5万元，完成预算</w:t>
      </w:r>
      <w:r>
        <w:rPr>
          <w:rStyle w:val="14"/>
          <w:rFonts w:hint="eastAsia" w:ascii="仿宋_GB2312" w:eastAsia="仿宋_GB2312"/>
          <w:b w:val="0"/>
          <w:color w:val="000000"/>
          <w:sz w:val="32"/>
          <w:szCs w:val="32"/>
        </w:rPr>
        <w:t>100%，其中：</w:t>
      </w:r>
    </w:p>
    <w:p>
      <w:pPr>
        <w:spacing w:line="560" w:lineRule="exact"/>
        <w:ind w:firstLine="480" w:firstLineChars="15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节能环保支出</w:t>
      </w:r>
      <w:r>
        <w:rPr>
          <w:rFonts w:hint="eastAsia" w:ascii="仿宋_GB2312" w:eastAsia="仿宋_GB2312"/>
          <w:color w:val="000000"/>
          <w:sz w:val="32"/>
          <w:szCs w:val="32"/>
        </w:rPr>
        <w:t>（类）211自然生态环保（款）04其他生态保护支出（项）99</w:t>
      </w:r>
      <w:r>
        <w:rPr>
          <w:rStyle w:val="14"/>
          <w:rFonts w:hint="eastAsia" w:ascii="仿宋_GB2312" w:eastAsia="仿宋_GB2312"/>
          <w:b w:val="0"/>
          <w:color w:val="000000"/>
          <w:sz w:val="32"/>
          <w:szCs w:val="32"/>
        </w:rPr>
        <w:t>：支出决算为28.5万元，完成预算100%。</w:t>
      </w:r>
    </w:p>
    <w:p>
      <w:pPr>
        <w:spacing w:line="560" w:lineRule="exact"/>
        <w:ind w:firstLine="480" w:firstLineChars="150"/>
        <w:rPr>
          <w:rStyle w:val="14"/>
          <w:rFonts w:ascii="仿宋_GB2312" w:eastAsia="仿宋_GB2312"/>
          <w:b w:val="0"/>
          <w:color w:val="000000"/>
          <w:sz w:val="32"/>
          <w:szCs w:val="32"/>
        </w:rPr>
      </w:pPr>
    </w:p>
    <w:p>
      <w:pPr>
        <w:spacing w:line="560" w:lineRule="exact"/>
        <w:ind w:firstLine="480" w:firstLineChars="150"/>
        <w:rPr>
          <w:rStyle w:val="14"/>
          <w:rFonts w:ascii="仿宋_GB2312" w:eastAsia="仿宋_GB2312"/>
          <w:b w:val="0"/>
          <w:color w:val="000000"/>
          <w:sz w:val="32"/>
          <w:szCs w:val="32"/>
        </w:rPr>
      </w:pPr>
    </w:p>
    <w:p>
      <w:pPr>
        <w:tabs>
          <w:tab w:val="right" w:pos="8306"/>
        </w:tabs>
        <w:spacing w:line="600" w:lineRule="exact"/>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2020年一般公共预算财政拨款基本支出313.45万元，其中：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人员经费171.2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公用经费142.2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Fonts w:ascii="黑体" w:eastAsia="黑体"/>
          <w:color w:val="000000"/>
          <w:sz w:val="32"/>
          <w:szCs w:val="32"/>
        </w:rPr>
      </w:pPr>
      <w:bookmarkStart w:id="42" w:name="_Toc15396609"/>
      <w:bookmarkStart w:id="43" w:name="_Toc15377215"/>
    </w:p>
    <w:p>
      <w:pPr>
        <w:spacing w:line="600" w:lineRule="exact"/>
        <w:ind w:firstLine="640"/>
        <w:outlineLvl w:val="1"/>
        <w:rPr>
          <w:rStyle w:val="25"/>
          <w:rFonts w:ascii="黑体" w:hAnsi="黑体" w:eastAsia="黑体"/>
          <w:b w:val="0"/>
        </w:rPr>
      </w:pPr>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2020年“三公”经费财政拨款支出决算为0.24万元，完成预算60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；公务接待费支出决算0.24万元，占100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因公出国（境）经费支出0万元，年初未安排预算，因公出国（境）经费支出较2019年无变化。</w:t>
      </w:r>
    </w:p>
    <w:p>
      <w:pPr>
        <w:spacing w:line="600" w:lineRule="exact"/>
        <w:ind w:firstLine="640"/>
        <w:rPr>
          <w:rFonts w:hint="default" w:ascii="仿宋_GB2312" w:eastAsia="仿宋_GB2312"/>
          <w:color w:val="000000"/>
          <w:sz w:val="32"/>
          <w:szCs w:val="32"/>
          <w:lang w:val="en-US" w:eastAsia="zh-CN"/>
        </w:rPr>
      </w:pPr>
      <w:r>
        <w:rPr>
          <w:rFonts w:hint="eastAsia" w:ascii="仿宋_GB2312" w:eastAsia="仿宋_GB2312"/>
          <w:b/>
          <w:color w:val="000000"/>
          <w:sz w:val="32"/>
          <w:szCs w:val="32"/>
          <w:lang w:val="en-US" w:eastAsia="zh-CN"/>
        </w:rPr>
        <w:t>2.公务用车购置和公务用车运行维护为</w:t>
      </w:r>
      <w:r>
        <w:rPr>
          <w:rFonts w:hint="eastAsia" w:ascii="仿宋_GB2312" w:eastAsia="仿宋_GB2312"/>
          <w:color w:val="000000"/>
          <w:sz w:val="32"/>
          <w:szCs w:val="32"/>
          <w:lang w:val="en-US" w:eastAsia="zh-CN"/>
        </w:rPr>
        <w:t>0万元，年初未安排预算，较2019年无变化。本年无公务用车购置，截至2020年12月，单位共有公务用车0辆。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lang w:val="en-US" w:eastAsia="zh-CN"/>
        </w:rPr>
        <w:t>3</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0.24万元，</w:t>
      </w:r>
      <w:r>
        <w:rPr>
          <w:rStyle w:val="14"/>
          <w:rFonts w:hint="eastAsia" w:ascii="仿宋" w:hAnsi="仿宋" w:eastAsia="仿宋"/>
          <w:b w:val="0"/>
          <w:bCs/>
          <w:color w:val="000000"/>
          <w:sz w:val="32"/>
          <w:szCs w:val="32"/>
        </w:rPr>
        <w:t>完成预算60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公务接待费支出决算比2019年减少0.07万元，主要原因是压减三公经费。</w:t>
      </w:r>
    </w:p>
    <w:p>
      <w:pPr>
        <w:spacing w:line="600" w:lineRule="exact"/>
        <w:ind w:firstLine="640"/>
        <w:outlineLvl w:val="1"/>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0.24</w:t>
      </w:r>
      <w:r>
        <w:rPr>
          <w:rFonts w:hint="eastAsia" w:ascii="仿宋_GB2312" w:eastAsia="仿宋_GB2312"/>
          <w:color w:val="auto"/>
          <w:sz w:val="32"/>
          <w:szCs w:val="32"/>
          <w:highlight w:val="none"/>
        </w:rPr>
        <w:t>万元，主要用于开展业务活动开支的餐费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w:t>
      </w:r>
      <w:bookmarkStart w:id="46" w:name="_Toc15396610"/>
      <w:bookmarkStart w:id="47" w:name="_Toc15377218"/>
      <w:r>
        <w:rPr>
          <w:rFonts w:hint="eastAsia" w:ascii="仿宋_GB2312" w:eastAsia="仿宋_GB2312"/>
          <w:color w:val="auto"/>
          <w:sz w:val="32"/>
          <w:szCs w:val="32"/>
          <w:highlight w:val="none"/>
          <w:lang w:eastAsia="zh-CN"/>
        </w:rPr>
        <w:t>。</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年政府性基金预算拨款支出0万元。</w:t>
      </w:r>
    </w:p>
    <w:p>
      <w:pPr>
        <w:numPr>
          <w:ilvl w:val="0"/>
          <w:numId w:val="3"/>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sz w:val="32"/>
          <w:szCs w:val="32"/>
        </w:rPr>
        <w:t>2020年，下西办事处机关运行经费支出142.2万元，比2019年下降14.53万元，</w:t>
      </w:r>
      <w:r>
        <w:rPr>
          <w:rFonts w:hint="eastAsia" w:ascii="仿宋_GB2312" w:eastAsia="仿宋_GB2312"/>
          <w:color w:val="000000" w:themeColor="text1"/>
          <w:sz w:val="32"/>
          <w:szCs w:val="32"/>
        </w:rPr>
        <w:t>主要原因是人员变动等。</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3" w:name="_Toc15377223"/>
      <w:r>
        <w:rPr>
          <w:rFonts w:hint="eastAsia" w:ascii="仿宋" w:hAnsi="仿宋" w:eastAsia="仿宋"/>
          <w:b/>
          <w:color w:val="auto"/>
          <w:sz w:val="32"/>
          <w:szCs w:val="32"/>
          <w:highlight w:val="none"/>
        </w:rPr>
        <w:t>（二）政府采购支出情况</w:t>
      </w:r>
      <w:bookmarkEnd w:id="5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0.81</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0.81</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4" w:name="_Toc15377224"/>
      <w:r>
        <w:rPr>
          <w:rFonts w:hint="eastAsia" w:ascii="仿宋" w:hAnsi="仿宋" w:eastAsia="仿宋"/>
          <w:b/>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下西办事处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spacing w:line="600" w:lineRule="exact"/>
        <w:ind w:firstLine="640" w:firstLineChars="200"/>
        <w:rPr>
          <w:rFonts w:hint="eastAsia" w:ascii="仿宋_GB2312" w:eastAsia="仿宋_GB2312"/>
          <w:color w:val="000000" w:themeColor="text1"/>
          <w:sz w:val="32"/>
          <w:szCs w:val="32"/>
        </w:rPr>
      </w:pPr>
    </w:p>
    <w:p>
      <w:pPr>
        <w:widowControl/>
        <w:jc w:val="left"/>
        <w:rPr>
          <w:rFonts w:ascii="仿宋_GB2312" w:eastAsia="仿宋_GB2312"/>
          <w:b/>
          <w:color w:val="000000"/>
          <w:sz w:val="32"/>
          <w:szCs w:val="32"/>
        </w:rPr>
      </w:pPr>
    </w:p>
    <w:p>
      <w:pPr>
        <w:numPr>
          <w:ilvl w:val="0"/>
          <w:numId w:val="4"/>
        </w:numPr>
        <w:spacing w:line="600" w:lineRule="exact"/>
        <w:ind w:firstLine="663"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bookmarkStart w:id="57" w:name="_Toc15396614"/>
      <w:bookmarkStart w:id="58" w:name="_Toc15377226"/>
      <w:r>
        <w:rPr>
          <w:rFonts w:hint="eastAsia" w:ascii="仿宋_GB2312" w:eastAsia="仿宋_GB2312"/>
          <w:sz w:val="32"/>
          <w:szCs w:val="32"/>
        </w:rPr>
        <w:t>1.财政拨款收入：指单位从同级财政部门取得的财政预算资金。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widowControl/>
        <w:ind w:firstLine="640" w:firstLineChars="200"/>
        <w:jc w:val="left"/>
      </w:pPr>
      <w:r>
        <w:rPr>
          <w:rFonts w:hint="eastAsia" w:ascii="仿宋_GB2312" w:eastAsia="仿宋_GB2312"/>
          <w:color w:val="000000"/>
          <w:sz w:val="32"/>
          <w:szCs w:val="32"/>
        </w:rPr>
        <w:t>5.</w:t>
      </w:r>
      <w:r>
        <w:rPr>
          <w:rFonts w:hint="eastAsia" w:ascii="仿宋_GB2312" w:hAnsi="仿宋_GB2312" w:eastAsia="仿宋_GB2312" w:cs="仿宋_GB2312"/>
          <w:kern w:val="0"/>
          <w:sz w:val="32"/>
          <w:szCs w:val="32"/>
        </w:rPr>
        <w:t>一般公共服务支出（类）201政府办公厅（室）及相关机构事务（款）03行政运行（项）01：指反映行政单位（包括实行公务员管理的事业单位）的基本支出。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7.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 xml:space="preserve"> 专项业务及机关事务管理（项）05：指反映各级政府举行各类重大活动、召开重要会议（如国务院一类会议、国庆招待会、全国劳模大会）的支出，政府机关房地产管理、公务用车等管理方面的支出。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color w:val="000000"/>
          <w:sz w:val="32"/>
          <w:szCs w:val="32"/>
        </w:rPr>
        <w:t xml:space="preserve">8.  </w:t>
      </w:r>
      <w:r>
        <w:rPr>
          <w:rFonts w:hint="eastAsia" w:ascii="仿宋_GB2312" w:hAnsi="仿宋_GB2312" w:eastAsia="仿宋_GB2312" w:cs="仿宋_GB2312"/>
          <w:kern w:val="0"/>
          <w:sz w:val="32"/>
          <w:szCs w:val="32"/>
        </w:rPr>
        <w:t>一般公共服务支出（类）201发展与改革事务（款）04日常经济运行调节（项）05：指反应日常经济运行调节方面的支出。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9. </w:t>
      </w:r>
      <w:r>
        <w:rPr>
          <w:rFonts w:hint="eastAsia" w:ascii="仿宋_GB2312" w:hAnsi="仿宋_GB2312" w:eastAsia="仿宋_GB2312" w:cs="仿宋_GB2312"/>
          <w:kern w:val="0"/>
          <w:sz w:val="32"/>
          <w:szCs w:val="32"/>
        </w:rPr>
        <w:t>一般公共服务支出（类）201纪检监察事务（款）11</w:t>
      </w:r>
      <w:r>
        <w:rPr>
          <w:rFonts w:hint="eastAsia" w:ascii="仿宋_GB2312" w:eastAsia="仿宋_GB2312"/>
          <w:color w:val="000000"/>
          <w:sz w:val="32"/>
          <w:szCs w:val="32"/>
        </w:rPr>
        <w:t>一般行政管理事务（项）02：指反映反应行政单位（</w:t>
      </w:r>
      <w:r>
        <w:rPr>
          <w:rFonts w:hint="eastAsia" w:ascii="仿宋_GB2312" w:hAnsi="仿宋_GB2312" w:eastAsia="仿宋_GB2312" w:cs="仿宋_GB2312"/>
          <w:kern w:val="0"/>
          <w:sz w:val="32"/>
          <w:szCs w:val="32"/>
        </w:rPr>
        <w:t>包括实行公务员管理的事业单位</w:t>
      </w:r>
      <w:r>
        <w:rPr>
          <w:rFonts w:hint="eastAsia" w:ascii="仿宋_GB2312" w:eastAsia="仿宋_GB2312"/>
          <w:color w:val="000000"/>
          <w:sz w:val="32"/>
          <w:szCs w:val="32"/>
        </w:rPr>
        <w:t>）未单独设置项级科目的其他项目支出。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组织事务（款）32一般行政管理事务（项）02指反映反应行政单位（</w:t>
      </w:r>
      <w:r>
        <w:rPr>
          <w:rFonts w:hint="eastAsia" w:ascii="仿宋_GB2312" w:hAnsi="仿宋_GB2312" w:eastAsia="仿宋_GB2312" w:cs="仿宋_GB2312"/>
          <w:kern w:val="0"/>
          <w:sz w:val="32"/>
          <w:szCs w:val="32"/>
        </w:rPr>
        <w:t>包括实行公务员管理的事业单位</w:t>
      </w:r>
      <w:r>
        <w:rPr>
          <w:rFonts w:hint="eastAsia" w:ascii="仿宋_GB2312" w:eastAsia="仿宋_GB2312"/>
          <w:color w:val="000000"/>
          <w:sz w:val="32"/>
          <w:szCs w:val="32"/>
        </w:rPr>
        <w:t>）未单独设置项级科目的其他项目支出。</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市场监督管理事务（款）38市场主体管理（项）04指反映市场准入、许可审批、信用监管等市场主体管理专项工作支出。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11.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市场监督管理事务（款）38其他市场监督管理事务（项）99指反映除用于上述项目以外其他市场监督管理事务方面的支出。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12.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其他一般公共服务支出（款）99其他一般公共服务支出（项）99指反映除用于上述项目以外的其他一般公共服务支出。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13.公共安全支出（类）204国家安全（款）03其他国家安全支出（项）99：指反映用于安全方面的支出。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14.社会保障和就业支出（类）208行政事业单位离退休（款）05机关事业单位基本养老保险缴费支出（项）05：指反映机关事业单位实施养老保险制度由单位缴纳的基本养老保险费支出。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15.社会保障和就业支出（类）208行政事业单位离退休（款）05机关事业单位职业年金缴费支出（项）06：指反映机关事业单位实施养老保险制度由单位实际缴纳的职业年金支出。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16.社会保障和就业支出（类）208行政事业单位离退休（款）05行政单位离退休（项）01：指反映行政单位（包括实行公务员管理的事业单位）开支的离退休经费。</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17.卫生健康支出（类）210公共卫生（款）04重大公共卫生服务（项）09：指反映重大疾病、重大传染病预防控制等重大公共卫生服务项目支出。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卫生健康支出（类）210行政事业单位医疗（类）11行政单位医疗（项）01：指反映财政部门集中安排的行政单位基本医疗保险缴费经费，未参加医疗保险的行政单位的公费医疗经费，按国家规定享受离休人员待遇的医疗费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19.节能环保支出（类）211自然生态环保（款）04其他自然生态环保支出（项）99：反映除上述项目以外其他用于自然生态保护方面的支出。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20.城乡社区支出（类）212城乡社区环境卫生（款）05城乡社区环境卫生（项）01：反映城乡社区道路清扫、垃圾清运与处理、公厕建设与维护、园林绿化等方面的支出。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22.农林水支出（类）213林业（款）02林业防灾减灾（项）34：反映为预防和扑救、救治森林火灾、林业有害生物灾害、自然水旱灾害等发生的支出。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24.农林水支出（类）213农村综合改革（款）07对村民委员会和村党支部的补助（项）05：反映各级财政对村民委员会和村党支部的补助支出，以及支持建立县级基本财力保障机制安排的村级组织运转奖补资金。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25.交通运输支出（类）214公路水路运输（款）01公路和运输安全（项）10：指反映公路和运输安全支出。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26.住房保障支出（类）221住房改革支出（款）02住房公积金（项）01：指反映行政事业单位按人力资源和社会保障部、财政部规定的基本工资和津贴补贴以及规定比例为职工缴纳的住房公积金。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28.项目支出：指在基本支出之外为完成特定行政任务和事业发展目标所发生的支出。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31.机关运行经费：</w:t>
      </w:r>
      <w:r>
        <w:rPr>
          <w:rFonts w:hint="eastAsia" w:ascii="仿宋_GB2312" w:eastAsia="仿宋_GB2312"/>
          <w:sz w:val="32"/>
          <w:szCs w:val="32"/>
        </w:rPr>
        <w:t>为</w:t>
      </w:r>
      <w:r>
        <w:rPr>
          <w:rFonts w:hint="eastAsia" w:ascii="仿宋_GB2312" w:eastAsia="仿宋_GB2312"/>
          <w:sz w:val="32"/>
          <w:szCs w:val="32"/>
        </w:rPr>
        <w:t>保障行政单位（含参照公务员法管理的事业单位）运行用于购买货物和服务的各项资金，包括办公及印刷费、邮电费</w:t>
      </w:r>
      <w:bookmarkStart w:id="73" w:name="_GoBack"/>
      <w:bookmarkEnd w:id="73"/>
      <w:r>
        <w:rPr>
          <w:rFonts w:hint="eastAsia" w:ascii="仿宋_GB2312" w:eastAsia="仿宋_GB2312"/>
          <w:sz w:val="32"/>
          <w:szCs w:val="32"/>
        </w:rPr>
        <w:t>、差旅费、会议费、福利费、日常维修费、专用材料及一般设备购置费、办公用房水电费、办公用房取暖费、办公用房物业管理费、公务用车运行维护费以及其他费用。</w:t>
      </w:r>
    </w:p>
    <w:bookmarkEnd w:id="57"/>
    <w:bookmarkEnd w:id="58"/>
    <w:p>
      <w:pPr>
        <w:spacing w:line="600" w:lineRule="exact"/>
        <w:jc w:val="center"/>
        <w:outlineLvl w:val="0"/>
        <w:rPr>
          <w:rFonts w:hint="eastAsia" w:ascii="黑体" w:hAnsi="黑体" w:eastAsia="黑体"/>
          <w:color w:val="auto"/>
          <w:sz w:val="44"/>
          <w:szCs w:val="44"/>
          <w:highlight w:val="none"/>
        </w:rPr>
      </w:pPr>
      <w:bookmarkStart w:id="59"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Fonts w:hint="eastAsia" w:ascii="黑体" w:hAnsi="黑体" w:eastAsia="黑体"/>
          <w:color w:val="auto"/>
          <w:sz w:val="44"/>
          <w:szCs w:val="44"/>
          <w:highlight w:val="none"/>
          <w:lang w:eastAsia="zh-CN"/>
        </w:rPr>
        <w:t>四</w:t>
      </w:r>
      <w:r>
        <w:rPr>
          <w:rStyle w:val="24"/>
          <w:rFonts w:hint="eastAsia" w:ascii="黑体" w:hAnsi="黑体" w:eastAsia="黑体"/>
          <w:b w:val="0"/>
          <w:color w:val="auto"/>
          <w:highlight w:val="none"/>
        </w:rPr>
        <w:t>部分 附表</w:t>
      </w:r>
      <w:bookmarkEnd w:id="59"/>
      <w:bookmarkStart w:id="60"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60"/>
    </w:p>
    <w:p>
      <w:pPr>
        <w:pStyle w:val="4"/>
        <w:rPr>
          <w:rFonts w:ascii="仿宋" w:hAnsi="仿宋" w:eastAsia="仿宋"/>
          <w:color w:val="auto"/>
          <w:highlight w:val="none"/>
        </w:rPr>
      </w:pPr>
      <w:bookmarkStart w:id="61"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61"/>
    </w:p>
    <w:p>
      <w:pPr>
        <w:pStyle w:val="4"/>
        <w:rPr>
          <w:rFonts w:ascii="仿宋" w:hAnsi="仿宋" w:eastAsia="仿宋"/>
          <w:color w:val="auto"/>
          <w:highlight w:val="none"/>
        </w:rPr>
      </w:pPr>
      <w:bookmarkStart w:id="62"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62"/>
    </w:p>
    <w:p>
      <w:pPr>
        <w:pStyle w:val="4"/>
        <w:rPr>
          <w:rFonts w:ascii="仿宋" w:hAnsi="仿宋" w:eastAsia="仿宋"/>
          <w:b w:val="0"/>
          <w:color w:val="auto"/>
          <w:highlight w:val="none"/>
        </w:rPr>
      </w:pPr>
      <w:bookmarkStart w:id="63"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63"/>
    </w:p>
    <w:p>
      <w:pPr>
        <w:pStyle w:val="4"/>
        <w:rPr>
          <w:rStyle w:val="25"/>
          <w:rFonts w:ascii="仿宋" w:hAnsi="仿宋" w:eastAsia="仿宋"/>
          <w:b w:val="0"/>
          <w:bCs w:val="0"/>
          <w:color w:val="auto"/>
          <w:highlight w:val="none"/>
        </w:rPr>
      </w:pPr>
      <w:bookmarkStart w:id="64"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64"/>
      <w:bookmarkStart w:id="65"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65"/>
    </w:p>
    <w:p>
      <w:pPr>
        <w:pStyle w:val="4"/>
        <w:rPr>
          <w:rFonts w:ascii="仿宋" w:hAnsi="仿宋" w:eastAsia="仿宋"/>
          <w:color w:val="auto"/>
          <w:highlight w:val="none"/>
        </w:rPr>
      </w:pPr>
      <w:bookmarkStart w:id="66"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66"/>
    </w:p>
    <w:p>
      <w:pPr>
        <w:pStyle w:val="4"/>
        <w:rPr>
          <w:rFonts w:ascii="仿宋" w:hAnsi="仿宋" w:eastAsia="仿宋"/>
          <w:color w:val="auto"/>
          <w:highlight w:val="none"/>
        </w:rPr>
      </w:pPr>
      <w:bookmarkStart w:id="67"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7"/>
    </w:p>
    <w:p>
      <w:pPr>
        <w:pStyle w:val="4"/>
        <w:rPr>
          <w:rFonts w:ascii="仿宋" w:hAnsi="仿宋" w:eastAsia="仿宋"/>
          <w:color w:val="auto"/>
          <w:highlight w:val="none"/>
        </w:rPr>
      </w:pPr>
      <w:bookmarkStart w:id="68"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8"/>
    </w:p>
    <w:p>
      <w:pPr>
        <w:pStyle w:val="4"/>
        <w:rPr>
          <w:rFonts w:ascii="仿宋" w:hAnsi="仿宋" w:eastAsia="仿宋"/>
          <w:color w:val="auto"/>
          <w:highlight w:val="none"/>
        </w:rPr>
      </w:pPr>
      <w:bookmarkStart w:id="69"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69"/>
    </w:p>
    <w:p>
      <w:pPr>
        <w:pStyle w:val="4"/>
        <w:rPr>
          <w:rFonts w:ascii="仿宋" w:hAnsi="仿宋" w:eastAsia="仿宋"/>
          <w:color w:val="auto"/>
          <w:highlight w:val="none"/>
        </w:rPr>
      </w:pPr>
      <w:bookmarkStart w:id="70"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70"/>
    </w:p>
    <w:p>
      <w:pPr>
        <w:pStyle w:val="4"/>
        <w:rPr>
          <w:rFonts w:ascii="仿宋" w:hAnsi="仿宋" w:eastAsia="仿宋"/>
          <w:color w:val="auto"/>
          <w:highlight w:val="none"/>
        </w:rPr>
      </w:pPr>
      <w:bookmarkStart w:id="71"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71"/>
    </w:p>
    <w:p>
      <w:pPr>
        <w:pStyle w:val="4"/>
        <w:rPr>
          <w:rStyle w:val="25"/>
          <w:rFonts w:hint="eastAsia" w:ascii="仿宋" w:hAnsi="仿宋" w:eastAsia="仿宋"/>
          <w:b w:val="0"/>
          <w:bCs w:val="0"/>
          <w:color w:val="auto"/>
          <w:highlight w:val="none"/>
        </w:rPr>
      </w:pPr>
      <w:bookmarkStart w:id="72"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72"/>
    </w:p>
    <w:p>
      <w:pPr>
        <w:rPr>
          <w:rFonts w:hint="eastAsia" w:eastAsia="仿宋"/>
          <w:color w:val="auto"/>
          <w:highlight w:val="none"/>
          <w:lang w:eastAsia="zh-CN"/>
        </w:rPr>
      </w:pPr>
      <w:r>
        <w:rPr>
          <w:rStyle w:val="25"/>
          <w:rFonts w:hint="eastAsia" w:ascii="仿宋" w:hAnsi="仿宋" w:eastAsia="仿宋"/>
          <w:b w:val="0"/>
          <w:bCs w:val="0"/>
          <w:color w:val="auto"/>
          <w:highlight w:val="none"/>
          <w:lang w:eastAsia="zh-CN"/>
        </w:rPr>
        <w:t>十四、国有资本经营预算财政拨款支出决算表</w:t>
      </w:r>
    </w:p>
    <w:p>
      <w:pPr>
        <w:pStyle w:val="4"/>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41B479-C4C3-4B22-A4F0-065F964FA2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E777585-A053-433B-98C5-A0677764C023}"/>
  </w:font>
  <w:font w:name="Cambria">
    <w:panose1 w:val="02040503050406030204"/>
    <w:charset w:val="00"/>
    <w:family w:val="roman"/>
    <w:pitch w:val="default"/>
    <w:sig w:usb0="E00002FF" w:usb1="400004FF" w:usb2="00000000" w:usb3="00000000" w:csb0="2000019F" w:csb1="00000000"/>
    <w:embedRegular r:id="rId3" w:fontKey="{BF01F671-46AF-4DAA-8A4B-A999D21630E0}"/>
  </w:font>
  <w:font w:name="仿宋_GB2312">
    <w:panose1 w:val="02010609030101010101"/>
    <w:charset w:val="86"/>
    <w:family w:val="modern"/>
    <w:pitch w:val="default"/>
    <w:sig w:usb0="00000001" w:usb1="080E0000" w:usb2="00000000" w:usb3="00000000" w:csb0="00040000" w:csb1="00000000"/>
    <w:embedRegular r:id="rId4" w:fontKey="{F0A56B28-9BD3-48E2-955D-3665313110B7}"/>
  </w:font>
  <w:font w:name="仿宋">
    <w:panose1 w:val="02010609060101010101"/>
    <w:charset w:val="86"/>
    <w:family w:val="modern"/>
    <w:pitch w:val="default"/>
    <w:sig w:usb0="800002BF" w:usb1="38CF7CFA" w:usb2="00000016" w:usb3="00000000" w:csb0="00040001" w:csb1="00000000"/>
    <w:embedRegular r:id="rId5" w:fontKey="{E06EEC35-B427-4B54-8D42-61AE24A12AD3}"/>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02951BA7-BC81-4C19-8E7A-9F3F9A21B4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F66589A"/>
    <w:multiLevelType w:val="singleLevel"/>
    <w:tmpl w:val="1F6658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RmMzM4YTFmMTJhMTdjZGU1MzBlNzYzYWZiNjZlYzYifQ=="/>
  </w:docVars>
  <w:rsids>
    <w:rsidRoot w:val="00F1361C"/>
    <w:rsid w:val="00002D94"/>
    <w:rsid w:val="000222C6"/>
    <w:rsid w:val="0002549F"/>
    <w:rsid w:val="0006487A"/>
    <w:rsid w:val="00065F8F"/>
    <w:rsid w:val="000768F2"/>
    <w:rsid w:val="0009184B"/>
    <w:rsid w:val="0009593C"/>
    <w:rsid w:val="000B047F"/>
    <w:rsid w:val="000B5923"/>
    <w:rsid w:val="000B5A48"/>
    <w:rsid w:val="000B5F7D"/>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877C7"/>
    <w:rsid w:val="00191536"/>
    <w:rsid w:val="00196687"/>
    <w:rsid w:val="001B180B"/>
    <w:rsid w:val="001C0962"/>
    <w:rsid w:val="001D7531"/>
    <w:rsid w:val="001E737D"/>
    <w:rsid w:val="001F0592"/>
    <w:rsid w:val="001F7506"/>
    <w:rsid w:val="002006CD"/>
    <w:rsid w:val="00200985"/>
    <w:rsid w:val="00202B36"/>
    <w:rsid w:val="00204B7A"/>
    <w:rsid w:val="0021101A"/>
    <w:rsid w:val="00220536"/>
    <w:rsid w:val="00235629"/>
    <w:rsid w:val="00260C38"/>
    <w:rsid w:val="002616C0"/>
    <w:rsid w:val="002662AA"/>
    <w:rsid w:val="002775D7"/>
    <w:rsid w:val="00280496"/>
    <w:rsid w:val="00295495"/>
    <w:rsid w:val="0029694F"/>
    <w:rsid w:val="002B2613"/>
    <w:rsid w:val="002C223B"/>
    <w:rsid w:val="002F1818"/>
    <w:rsid w:val="002F567B"/>
    <w:rsid w:val="003216A9"/>
    <w:rsid w:val="00327CF4"/>
    <w:rsid w:val="00351C25"/>
    <w:rsid w:val="0037013F"/>
    <w:rsid w:val="00380C92"/>
    <w:rsid w:val="003A484F"/>
    <w:rsid w:val="003B0BE0"/>
    <w:rsid w:val="003B0C1B"/>
    <w:rsid w:val="003B688C"/>
    <w:rsid w:val="003C0291"/>
    <w:rsid w:val="003C39AE"/>
    <w:rsid w:val="003C7B60"/>
    <w:rsid w:val="003D09A6"/>
    <w:rsid w:val="003D1FB2"/>
    <w:rsid w:val="003D66DA"/>
    <w:rsid w:val="003E1310"/>
    <w:rsid w:val="003E6F55"/>
    <w:rsid w:val="00406254"/>
    <w:rsid w:val="004223DE"/>
    <w:rsid w:val="00432770"/>
    <w:rsid w:val="00434489"/>
    <w:rsid w:val="00437085"/>
    <w:rsid w:val="00443880"/>
    <w:rsid w:val="004464F4"/>
    <w:rsid w:val="00471401"/>
    <w:rsid w:val="00473F31"/>
    <w:rsid w:val="0048263A"/>
    <w:rsid w:val="00487E5D"/>
    <w:rsid w:val="004A4715"/>
    <w:rsid w:val="004A711F"/>
    <w:rsid w:val="004B199D"/>
    <w:rsid w:val="004B4690"/>
    <w:rsid w:val="004E0A2D"/>
    <w:rsid w:val="004E206B"/>
    <w:rsid w:val="004E6DF7"/>
    <w:rsid w:val="004F0FBD"/>
    <w:rsid w:val="00505A47"/>
    <w:rsid w:val="00512FDA"/>
    <w:rsid w:val="00520DA0"/>
    <w:rsid w:val="0056379C"/>
    <w:rsid w:val="005664BB"/>
    <w:rsid w:val="0057481D"/>
    <w:rsid w:val="0058486E"/>
    <w:rsid w:val="005D1C8B"/>
    <w:rsid w:val="005D5CED"/>
    <w:rsid w:val="005E00DD"/>
    <w:rsid w:val="005E29A6"/>
    <w:rsid w:val="005F1A4C"/>
    <w:rsid w:val="00605688"/>
    <w:rsid w:val="006070AF"/>
    <w:rsid w:val="00607E6C"/>
    <w:rsid w:val="006101B1"/>
    <w:rsid w:val="00614E44"/>
    <w:rsid w:val="00616643"/>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036D6"/>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95C37"/>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1F16"/>
    <w:rsid w:val="009C22F4"/>
    <w:rsid w:val="009C2E98"/>
    <w:rsid w:val="009D0526"/>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3A14"/>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720A"/>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39EF"/>
    <w:rsid w:val="00CE44F6"/>
    <w:rsid w:val="00CE49DA"/>
    <w:rsid w:val="00CE7B61"/>
    <w:rsid w:val="00D00095"/>
    <w:rsid w:val="00D20620"/>
    <w:rsid w:val="00D26091"/>
    <w:rsid w:val="00D32CAD"/>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17354"/>
    <w:rsid w:val="00E21A8F"/>
    <w:rsid w:val="00E331A1"/>
    <w:rsid w:val="00E33202"/>
    <w:rsid w:val="00E336A9"/>
    <w:rsid w:val="00E50624"/>
    <w:rsid w:val="00E568DF"/>
    <w:rsid w:val="00E64269"/>
    <w:rsid w:val="00E82267"/>
    <w:rsid w:val="00EA010F"/>
    <w:rsid w:val="00ED1B63"/>
    <w:rsid w:val="00ED3C1F"/>
    <w:rsid w:val="00ED4085"/>
    <w:rsid w:val="00ED420E"/>
    <w:rsid w:val="00ED598C"/>
    <w:rsid w:val="00EE2F57"/>
    <w:rsid w:val="00EF4C34"/>
    <w:rsid w:val="00EF77C6"/>
    <w:rsid w:val="00F05438"/>
    <w:rsid w:val="00F1361C"/>
    <w:rsid w:val="00F160C7"/>
    <w:rsid w:val="00F36D8F"/>
    <w:rsid w:val="00F417B1"/>
    <w:rsid w:val="00F602DF"/>
    <w:rsid w:val="00F80799"/>
    <w:rsid w:val="00F81FD9"/>
    <w:rsid w:val="00F841AA"/>
    <w:rsid w:val="00F97374"/>
    <w:rsid w:val="00FA23E8"/>
    <w:rsid w:val="00FD2BB1"/>
    <w:rsid w:val="00FD3CC1"/>
    <w:rsid w:val="00FF1E02"/>
    <w:rsid w:val="00FF30B4"/>
    <w:rsid w:val="0B1A346B"/>
    <w:rsid w:val="10C055FF"/>
    <w:rsid w:val="1598181E"/>
    <w:rsid w:val="16BB723D"/>
    <w:rsid w:val="19936A07"/>
    <w:rsid w:val="1B3D0A6D"/>
    <w:rsid w:val="1EAE5F51"/>
    <w:rsid w:val="240371BF"/>
    <w:rsid w:val="26463588"/>
    <w:rsid w:val="29743F15"/>
    <w:rsid w:val="29FD04D3"/>
    <w:rsid w:val="2AAE247C"/>
    <w:rsid w:val="319F7F4E"/>
    <w:rsid w:val="358C5373"/>
    <w:rsid w:val="3C3D1F40"/>
    <w:rsid w:val="439E7EFB"/>
    <w:rsid w:val="4B845AB2"/>
    <w:rsid w:val="61AD6509"/>
    <w:rsid w:val="6B793B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A201-C030-4A9B-8EED-6EF6DC94955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9775</Words>
  <Characters>10799</Characters>
  <Lines>81</Lines>
  <Paragraphs>22</Paragraphs>
  <TotalTime>13</TotalTime>
  <ScaleCrop>false</ScaleCrop>
  <LinksUpToDate>false</LinksUpToDate>
  <CharactersWithSpaces>10858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2021-09-07T04:04:00Z</dcterms:created>
  <dc:creator>张彬茜</dc:creator>
  <cp:lastModifiedBy>Administrator</cp:lastModifiedBy>
  <cp:lastPrinted>2022-09-28T01:17:00Z</cp:lastPrinted>
  <dcterms:modified xsi:type="dcterms:W3CDTF">2022-09-28T01:27:01Z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52CC90DE5BC7452093F52B80F37FC075</vt:lpwstr>
  </property>
</Properties>
</file>