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6" w:lineRule="exact"/>
        <w:ind w:firstLine="372" w:firstLineChars="103"/>
        <w:jc w:val="center"/>
        <w:rPr>
          <w:rFonts w:hint="eastAsia" w:ascii="方正小标宋_GBK" w:hAnsi="方正小标宋_GBK" w:eastAsia="方正小标宋_GBK" w:cs="方正小标宋_GBK"/>
          <w:b/>
          <w:bCs w:val="0"/>
          <w:sz w:val="36"/>
          <w:szCs w:val="36"/>
          <w:lang w:eastAsia="zh-CN"/>
        </w:rPr>
      </w:pPr>
      <w:r>
        <w:rPr>
          <w:rFonts w:hint="eastAsia" w:ascii="方正小标宋_GBK" w:hAnsi="方正小标宋_GBK" w:eastAsia="方正小标宋_GBK" w:cs="方正小标宋_GBK"/>
          <w:b/>
          <w:bCs w:val="0"/>
          <w:sz w:val="36"/>
          <w:szCs w:val="36"/>
          <w:lang w:eastAsia="zh-CN"/>
        </w:rPr>
        <w:t>广元经济开发区局建设环保局</w:t>
      </w:r>
    </w:p>
    <w:p>
      <w:pPr>
        <w:keepNext w:val="0"/>
        <w:keepLines w:val="0"/>
        <w:pageBreakBefore w:val="0"/>
        <w:kinsoku/>
        <w:wordWrap/>
        <w:overflowPunct/>
        <w:topLinePunct w:val="0"/>
        <w:autoSpaceDE/>
        <w:autoSpaceDN/>
        <w:bidi w:val="0"/>
        <w:adjustRightInd w:val="0"/>
        <w:snapToGrid w:val="0"/>
        <w:spacing w:line="576" w:lineRule="exact"/>
        <w:ind w:firstLine="372" w:firstLineChars="103"/>
        <w:jc w:val="center"/>
        <w:rPr>
          <w:rFonts w:hint="eastAsia" w:ascii="方正小标宋_GBK" w:hAnsi="方正小标宋_GBK" w:eastAsia="方正小标宋_GBK" w:cs="方正小标宋_GBK"/>
          <w:b/>
          <w:bCs w:val="0"/>
          <w:sz w:val="36"/>
          <w:szCs w:val="36"/>
        </w:rPr>
      </w:pPr>
      <w:r>
        <w:rPr>
          <w:rFonts w:hint="eastAsia" w:ascii="方正小标宋_GBK" w:hAnsi="方正小标宋_GBK" w:eastAsia="方正小标宋_GBK" w:cs="方正小标宋_GBK"/>
          <w:b/>
          <w:bCs w:val="0"/>
          <w:sz w:val="36"/>
          <w:szCs w:val="36"/>
          <w:lang w:val="en-US" w:eastAsia="zh-CN"/>
        </w:rPr>
        <w:t>2020年</w:t>
      </w:r>
      <w:r>
        <w:rPr>
          <w:rFonts w:hint="eastAsia" w:ascii="方正小标宋_GBK" w:hAnsi="方正小标宋_GBK" w:eastAsia="方正小标宋_GBK" w:cs="方正小标宋_GBK"/>
          <w:b/>
          <w:bCs w:val="0"/>
          <w:sz w:val="36"/>
          <w:szCs w:val="36"/>
        </w:rPr>
        <w:t>部门支出绩效评价自评报告</w:t>
      </w:r>
    </w:p>
    <w:p>
      <w:pPr>
        <w:keepNext w:val="0"/>
        <w:keepLines w:val="0"/>
        <w:pageBreakBefore w:val="0"/>
        <w:kinsoku/>
        <w:wordWrap/>
        <w:overflowPunct/>
        <w:topLinePunct w:val="0"/>
        <w:autoSpaceDE/>
        <w:autoSpaceDN/>
        <w:bidi w:val="0"/>
        <w:adjustRightInd w:val="0"/>
        <w:snapToGrid w:val="0"/>
        <w:spacing w:line="596" w:lineRule="exact"/>
        <w:ind w:firstLine="370" w:firstLineChars="103"/>
        <w:jc w:val="left"/>
        <w:textAlignment w:val="auto"/>
        <w:rPr>
          <w:rFonts w:hint="eastAsia" w:ascii="方正小标宋_GBK" w:hAnsi="方正小标宋_GBK" w:eastAsia="方正小标宋_GBK" w:cs="方正小标宋_GBK"/>
          <w:bCs/>
          <w:sz w:val="36"/>
          <w:szCs w:val="36"/>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一、部门概况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仿宋_GB2312" w:cs="Times New Roman"/>
          <w:color w:val="auto"/>
          <w:kern w:val="2"/>
          <w:sz w:val="32"/>
          <w:szCs w:val="32"/>
          <w:lang w:val="en-US" w:eastAsia="zh-CN" w:bidi="ar-SA"/>
        </w:rPr>
      </w:pPr>
      <w:r>
        <w:rPr>
          <w:rFonts w:hint="eastAsia" w:ascii="仿宋_GB2312" w:cs="Times New Roman"/>
          <w:color w:val="auto"/>
          <w:kern w:val="2"/>
          <w:sz w:val="32"/>
          <w:szCs w:val="32"/>
          <w:lang w:val="en-US" w:eastAsia="zh-CN" w:bidi="ar-SA"/>
        </w:rPr>
        <w:t>（一）机构设置</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560" w:firstLineChars="200"/>
        <w:jc w:val="both"/>
        <w:textAlignment w:val="auto"/>
        <w:rPr>
          <w:rFonts w:hint="default" w:ascii="宋体" w:hAnsi="宋体" w:eastAsia="宋体" w:cs="仿宋"/>
          <w:kern w:val="2"/>
          <w:sz w:val="28"/>
          <w:szCs w:val="28"/>
          <w:lang w:val="en-US" w:eastAsia="zh-CN" w:bidi="ar-SA"/>
        </w:rPr>
      </w:pPr>
      <w:r>
        <w:rPr>
          <w:rFonts w:hint="eastAsia" w:ascii="宋体" w:hAnsi="宋体" w:eastAsia="宋体" w:cs="仿宋"/>
          <w:kern w:val="2"/>
          <w:sz w:val="28"/>
          <w:szCs w:val="28"/>
          <w:lang w:val="en-US" w:eastAsia="zh-CN" w:bidi="ar-SA"/>
        </w:rPr>
        <w:t>根据广编办发（2019）44号，单位是经开区管委会内设机构，负责农业、林业、水利、畜牧业工作，负责移民扶贫、农业投资项目管理等工作。</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（二）</w:t>
      </w:r>
      <w:r>
        <w:rPr>
          <w:rFonts w:hint="eastAsia" w:ascii="仿宋_GB2312" w:hAnsi="Times New Roman" w:eastAsia="仿宋_GB2312" w:cs="Times New Roman"/>
          <w:color w:val="000000"/>
          <w:kern w:val="2"/>
          <w:sz w:val="32"/>
          <w:szCs w:val="32"/>
          <w:lang w:val="en-US" w:eastAsia="zh-CN" w:bidi="ar-SA"/>
        </w:rPr>
        <w:t>主要职责职能</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560" w:firstLineChars="200"/>
        <w:jc w:val="both"/>
        <w:textAlignment w:val="auto"/>
        <w:rPr>
          <w:rFonts w:hint="eastAsia" w:ascii="宋体" w:hAnsi="宋体" w:eastAsia="宋体" w:cs="仿宋"/>
          <w:kern w:val="2"/>
          <w:sz w:val="28"/>
          <w:szCs w:val="28"/>
          <w:lang w:val="en-US" w:eastAsia="zh-CN" w:bidi="ar-SA"/>
        </w:rPr>
      </w:pPr>
      <w:r>
        <w:rPr>
          <w:rFonts w:hint="eastAsia" w:ascii="宋体" w:hAnsi="宋体" w:eastAsia="宋体" w:cs="仿宋"/>
          <w:kern w:val="2"/>
          <w:sz w:val="28"/>
          <w:szCs w:val="28"/>
          <w:lang w:val="en-US" w:eastAsia="zh-CN" w:bidi="ar-SA"/>
        </w:rPr>
        <w:t xml:space="preserve">宣传贯彻、执行中央和省、市关于农业和农村工作的各项方针路线和政策负责开发区脱贫攻坚和移民后期扶持工作；负责综合协调、指导检查乡村振兴战略实施；指导深化农村改革、水务林业管理和农村经济发展工作；承办区党工委、管委会交办的其他事项。 </w:t>
      </w:r>
    </w:p>
    <w:p>
      <w:pPr>
        <w:keepNext w:val="0"/>
        <w:keepLines w:val="0"/>
        <w:pageBreakBefore w:val="0"/>
        <w:numPr>
          <w:ilvl w:val="0"/>
          <w:numId w:val="1"/>
        </w:numPr>
        <w:kinsoku/>
        <w:wordWrap/>
        <w:overflowPunct/>
        <w:topLinePunct w:val="0"/>
        <w:autoSpaceDE/>
        <w:autoSpaceDN/>
        <w:bidi w:val="0"/>
        <w:adjustRightInd/>
        <w:snapToGrid/>
        <w:spacing w:line="48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人员配置</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单位人员编制7人，其中参公5人，非参公事业2人。聘用人员2人。</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部门总体评价</w:t>
      </w:r>
    </w:p>
    <w:p>
      <w:pPr>
        <w:pStyle w:val="6"/>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
          <w:kern w:val="2"/>
          <w:sz w:val="28"/>
          <w:szCs w:val="28"/>
          <w:lang w:val="en-US" w:eastAsia="zh-CN" w:bidi="ar-SA"/>
        </w:rPr>
      </w:pPr>
      <w:r>
        <w:rPr>
          <w:rFonts w:hint="eastAsia" w:ascii="宋体" w:hAnsi="宋体" w:eastAsia="宋体" w:cs="仿宋"/>
          <w:kern w:val="2"/>
          <w:sz w:val="28"/>
          <w:szCs w:val="28"/>
          <w:lang w:val="en-US" w:eastAsia="zh-CN" w:bidi="ar-SA"/>
        </w:rPr>
        <w:t>部门支出绩效评价得分为</w:t>
      </w:r>
      <w:r>
        <w:rPr>
          <w:rFonts w:hint="eastAsia" w:ascii="宋体" w:hAnsi="宋体" w:cs="仿宋"/>
          <w:kern w:val="2"/>
          <w:sz w:val="28"/>
          <w:szCs w:val="28"/>
          <w:lang w:val="en-US" w:eastAsia="zh-CN" w:bidi="ar-SA"/>
        </w:rPr>
        <w:t>92.2</w:t>
      </w:r>
      <w:r>
        <w:rPr>
          <w:rFonts w:hint="eastAsia" w:ascii="宋体" w:hAnsi="宋体" w:eastAsia="宋体" w:cs="仿宋"/>
          <w:kern w:val="2"/>
          <w:sz w:val="28"/>
          <w:szCs w:val="28"/>
          <w:lang w:val="en-US" w:eastAsia="zh-CN" w:bidi="ar-SA"/>
        </w:rPr>
        <w:t>0分。其中部门基本支出绩效评价扣分原因：绩效管理扣</w:t>
      </w:r>
      <w:r>
        <w:rPr>
          <w:rFonts w:hint="eastAsia" w:ascii="宋体" w:hAnsi="宋体" w:cs="仿宋"/>
          <w:kern w:val="2"/>
          <w:sz w:val="28"/>
          <w:szCs w:val="28"/>
          <w:lang w:val="en-US" w:eastAsia="zh-CN" w:bidi="ar-SA"/>
        </w:rPr>
        <w:t>6</w:t>
      </w:r>
      <w:r>
        <w:rPr>
          <w:rFonts w:hint="eastAsia" w:ascii="宋体" w:hAnsi="宋体" w:eastAsia="宋体" w:cs="仿宋"/>
          <w:kern w:val="2"/>
          <w:sz w:val="28"/>
          <w:szCs w:val="28"/>
          <w:lang w:val="en-US" w:eastAsia="zh-CN" w:bidi="ar-SA"/>
        </w:rPr>
        <w:t>分。项目支出绩效评价得28.20分。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 xml:space="preserve">、部门财政支出管理情况 </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 xml:space="preserve"> </w:t>
      </w:r>
      <w:r>
        <w:rPr>
          <w:rFonts w:hint="eastAsia" w:ascii="楷体_GB2312" w:hAnsi="楷体_GB2312" w:eastAsia="楷体_GB2312" w:cs="楷体_GB2312"/>
          <w:sz w:val="32"/>
          <w:szCs w:val="32"/>
        </w:rPr>
        <w:t>（一）预算编制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1.报送时间。在预算编制中，完善预算编制基础工作，提高预算编制的规范化和科学性，确保了部门预算编制真实、准确、完整。</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2020年预算193.70万元，其中基本支出90.90万元，项目支出102.80万元。</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2.编制质量。预算编制工作严格按照财政部门的要求和口径编制部门预算，在预算编制中结合本部门工作实际，编制支出预算，优化支出结构</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（二）预算执行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1.执行进度。财政资金使用遵照预算进度要求，人员支出按时间进度执行，项目支出按项目进展情况执行。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2.预算调整。在预算的执行中未调整过预算项目,年度预算执行收支平衡。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3.行政成本。三公经费支出0.03万元,全为公务接待费,未超预算。</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4.决算。按时报送部门决算，做到账表一致，决算数据真实准确。决算金额1431.58万元，其中基本支出146.18万元，项目支出1285.40万元。</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（三）绩效管理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1.绩效目标。年初预算未上报部门整体绩效目标和项目绩效目标。</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2.绩效监控。 2020年未上报绩效监控表，未开展绩效跟踪监控工作。</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3.绩效评价。配合财政部门开展绩效评价，并按时向财政部门报送了项目和部门整体支出绩效自评报告。</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（四）综合管理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1.非税收入执收。该单位无非税收入。</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2.政府采购。单位年初编制了政府采购预算，按照政府采购相关要求实施相关采购。</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3.资产管理。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能按照资产管理信息化的要求，将全部资产录入资产信息管理系统，并及时更新。资产购置验收、入账、领用均有管理制度，能落实相关资产管理人员和使用人员的职责，资产领用有记载。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每年定期清理资产，清理结果与财政复核结果相符。单独报送国有资产年报表。</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内部控制。立内控领导机构，设置内部控制牵头部门，明确各部门、岗位和相关工作人员分工和责任，定期开展内部控制监督检查和自我评价工作</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5.信息公开。预决算及绩效目标由财政局汇总统一公开。</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财政政策执行。认真贯彻落实各项财政政策，。严格执行财政资金“收支两条线”、国库集中支付、公务卡强制结算等制度，围绕“过紧日子”精神压缩弹性支出，从而提高财政资金的安全性、规范性和有效性。</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7.财经纪律执行。未发现违规违纪行为。</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（五）评价结果应用</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2020年财政项目绩效评价1个项目:长江退捕禁捕资金，评价得分94分，按照30%折算得分28.20分。</w:t>
      </w:r>
    </w:p>
    <w:p>
      <w:pPr>
        <w:keepNext w:val="0"/>
        <w:keepLines w:val="0"/>
        <w:pageBreakBefore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存在的问题</w:t>
      </w:r>
    </w:p>
    <w:p>
      <w:pPr>
        <w:pStyle w:val="2"/>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default" w:ascii="宋体" w:hAnsi="宋体" w:eastAsia="宋体" w:cs="仿宋"/>
          <w:kern w:val="2"/>
          <w:sz w:val="28"/>
          <w:szCs w:val="28"/>
          <w:lang w:val="en-US" w:eastAsia="zh-CN" w:bidi="ar-SA"/>
        </w:rPr>
      </w:pPr>
      <w:r>
        <w:rPr>
          <w:rFonts w:hint="eastAsia" w:ascii="宋体" w:hAnsi="宋体" w:eastAsia="宋体" w:cs="宋体"/>
          <w:color w:val="auto"/>
          <w:kern w:val="2"/>
          <w:sz w:val="28"/>
          <w:szCs w:val="28"/>
          <w:lang w:val="en-US" w:eastAsia="zh-CN" w:bidi="ar-SA"/>
        </w:rPr>
        <w:t>对预算绩效管理工作认识还不到位，重视力度还不够，错误的认为绩效管理是财务部门的职责。</w:t>
      </w:r>
    </w:p>
    <w:p>
      <w:pPr>
        <w:keepNext w:val="0"/>
        <w:keepLines w:val="0"/>
        <w:pageBreakBefore w:val="0"/>
        <w:numPr>
          <w:ilvl w:val="0"/>
          <w:numId w:val="2"/>
        </w:numPr>
        <w:kinsoku/>
        <w:wordWrap/>
        <w:overflowPunct/>
        <w:topLinePunct w:val="0"/>
        <w:autoSpaceDE/>
        <w:autoSpaceDN/>
        <w:bidi w:val="0"/>
        <w:adjustRightInd/>
        <w:snapToGrid/>
        <w:spacing w:line="48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整改建议和意见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（一）建立健全预算绩效管控体系，事前绩效评估、事中绩效监控、事后绩效评价，绩效目标引领、结果应用推动2个支撑，完善预算绩效管理制度，健全组织机构，明确工作职责，强化监督问责。</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（二）进一步规范专项资金的管理和使用，最大限度的提高专项资金的有效使用率。</w:t>
      </w:r>
    </w:p>
    <w:p>
      <w:pPr>
        <w:keepNext w:val="0"/>
        <w:keepLines w:val="0"/>
        <w:pageBreakBefore w:val="0"/>
        <w:kinsoku/>
        <w:wordWrap/>
        <w:overflowPunct/>
        <w:topLinePunct w:val="0"/>
        <w:autoSpaceDE/>
        <w:autoSpaceDN/>
        <w:bidi w:val="0"/>
        <w:adjustRightInd/>
        <w:snapToGrid/>
        <w:spacing w:line="576" w:lineRule="exact"/>
        <w:ind w:firstLine="560" w:firstLineChars="200"/>
        <w:outlineLvl w:val="9"/>
        <w:rPr>
          <w:rFonts w:hint="eastAsia" w:ascii="宋体" w:hAnsi="宋体" w:eastAsia="宋体" w:cs="宋体"/>
          <w:color w:val="auto"/>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576" w:lineRule="exact"/>
        <w:outlineLvl w:val="9"/>
      </w:pPr>
    </w:p>
    <w:p>
      <w:pPr>
        <w:keepNext w:val="0"/>
        <w:keepLines w:val="0"/>
        <w:pageBreakBefore w:val="0"/>
        <w:kinsoku/>
        <w:wordWrap/>
        <w:overflowPunct/>
        <w:topLinePunct w:val="0"/>
        <w:autoSpaceDE/>
        <w:autoSpaceDN/>
        <w:bidi w:val="0"/>
        <w:adjustRightInd/>
        <w:snapToGrid/>
        <w:spacing w:line="576" w:lineRule="exact"/>
        <w:outlineLvl w:val="9"/>
      </w:pPr>
    </w:p>
    <w:p>
      <w:pPr>
        <w:keepNext w:val="0"/>
        <w:keepLines w:val="0"/>
        <w:pageBreakBefore w:val="0"/>
        <w:kinsoku/>
        <w:wordWrap/>
        <w:overflowPunct/>
        <w:topLinePunct w:val="0"/>
        <w:autoSpaceDE/>
        <w:autoSpaceDN/>
        <w:bidi w:val="0"/>
        <w:adjustRightInd/>
        <w:snapToGrid/>
        <w:spacing w:line="576" w:lineRule="exact"/>
        <w:outlineLvl w:val="9"/>
        <w:rPr>
          <w:rFonts w:hint="eastAsia"/>
          <w:lang w:val="en-US" w:eastAsia="zh-CN"/>
        </w:rPr>
      </w:pP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jc w:val="right"/>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广元经济技术开发区农业农村局</w:t>
      </w:r>
    </w:p>
    <w:p>
      <w:r>
        <w:rPr>
          <w:rFonts w:hint="eastAsia" w:ascii="仿宋_GB2312" w:eastAsia="仿宋_GB2312"/>
          <w:sz w:val="32"/>
          <w:szCs w:val="32"/>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9C858"/>
    <w:multiLevelType w:val="singleLevel"/>
    <w:tmpl w:val="F439C858"/>
    <w:lvl w:ilvl="0" w:tentative="0">
      <w:start w:val="3"/>
      <w:numFmt w:val="chineseCounting"/>
      <w:suff w:val="nothing"/>
      <w:lvlText w:val="（%1）"/>
      <w:lvlJc w:val="left"/>
      <w:rPr>
        <w:rFonts w:hint="eastAsia"/>
      </w:rPr>
    </w:lvl>
  </w:abstractNum>
  <w:abstractNum w:abstractNumId="1">
    <w:nsid w:val="534BA8CD"/>
    <w:multiLevelType w:val="singleLevel"/>
    <w:tmpl w:val="534BA8C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3E86"/>
    <w:rsid w:val="07663FD1"/>
    <w:rsid w:val="094D4689"/>
    <w:rsid w:val="0CFC16D2"/>
    <w:rsid w:val="0EAD09EA"/>
    <w:rsid w:val="17443E7B"/>
    <w:rsid w:val="25923464"/>
    <w:rsid w:val="26DF2613"/>
    <w:rsid w:val="281C1926"/>
    <w:rsid w:val="29B72AB1"/>
    <w:rsid w:val="2B7448EC"/>
    <w:rsid w:val="2C0C4D5E"/>
    <w:rsid w:val="2C351EAE"/>
    <w:rsid w:val="31497C53"/>
    <w:rsid w:val="330643D3"/>
    <w:rsid w:val="39FF281C"/>
    <w:rsid w:val="3C461D28"/>
    <w:rsid w:val="3D0332D9"/>
    <w:rsid w:val="40210E44"/>
    <w:rsid w:val="40524ED1"/>
    <w:rsid w:val="41155E22"/>
    <w:rsid w:val="45715D14"/>
    <w:rsid w:val="47885D57"/>
    <w:rsid w:val="53DF0614"/>
    <w:rsid w:val="548F4CD5"/>
    <w:rsid w:val="54933190"/>
    <w:rsid w:val="56344B2D"/>
    <w:rsid w:val="59FC1FB7"/>
    <w:rsid w:val="5F2D34FB"/>
    <w:rsid w:val="5F711818"/>
    <w:rsid w:val="5F8D6675"/>
    <w:rsid w:val="65311709"/>
    <w:rsid w:val="6708756C"/>
    <w:rsid w:val="6B291BC8"/>
    <w:rsid w:val="6DF23005"/>
    <w:rsid w:val="71FE193F"/>
    <w:rsid w:val="76CD23A6"/>
    <w:rsid w:val="782D6979"/>
    <w:rsid w:val="7AD450E3"/>
    <w:rsid w:val="7B745318"/>
    <w:rsid w:val="CDFFD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Normal (Web)"/>
    <w:basedOn w:val="1"/>
    <w:qFormat/>
    <w:uiPriority w:val="99"/>
    <w:pPr>
      <w:spacing w:before="100" w:beforeAutospacing="1" w:after="100" w:afterAutospacing="1"/>
      <w:jc w:val="left"/>
    </w:pPr>
    <w:rPr>
      <w:kern w:val="0"/>
      <w:sz w:val="24"/>
      <w:szCs w:val="20"/>
    </w:rPr>
  </w:style>
  <w:style w:type="paragraph" w:customStyle="1" w:styleId="6">
    <w:name w:val="p0"/>
    <w:basedOn w:val="1"/>
    <w:qFormat/>
    <w:uiPriority w:val="99"/>
    <w:pPr>
      <w:widowControl/>
    </w:pPr>
    <w:rPr>
      <w:kern w:val="0"/>
      <w:szCs w:val="21"/>
    </w:rPr>
  </w:style>
  <w:style w:type="paragraph" w:styleId="7">
    <w:name w:val="No Spacing"/>
    <w:qFormat/>
    <w:uiPriority w:val="1"/>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2021-09-24T21:38:00Z</dcterms:created>
  <dc:creator>lenovo</dc:creator>
  <cp:lastModifiedBy>uos</cp:lastModifiedBy>
  <dcterms:modified xsi:type="dcterms:W3CDTF">2022-08-31T16:14:59Z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C10F1E07C2744413B537051F3CCDB8E2</vt:lpwstr>
  </property>
</Properties>
</file>