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ascii="Times New Roman" w:hAnsi="Times New Roman"/>
                <w:color w:val="000000"/>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noWrap w:val="0"/>
            <w:vAlign w:val="center"/>
          </w:tcPr>
          <w:p>
            <w:pPr>
              <w:widowControl/>
              <w:jc w:val="left"/>
              <w:rPr>
                <w:rFonts w:ascii="黑体" w:hAnsi="宋体" w:eastAsia="黑体" w:cs="宋体"/>
                <w:color w:val="000000"/>
                <w:kern w:val="0"/>
                <w:sz w:val="22"/>
              </w:rPr>
            </w:pPr>
          </w:p>
        </w:tc>
        <w:tc>
          <w:tcPr>
            <w:tcW w:w="2160" w:type="dxa"/>
            <w:vMerge w:val="continue"/>
            <w:noWrap w:val="0"/>
            <w:vAlign w:val="center"/>
          </w:tcPr>
          <w:p>
            <w:pPr>
              <w:widowControl/>
              <w:jc w:val="left"/>
              <w:rPr>
                <w:rFonts w:ascii="黑体" w:hAnsi="宋体" w:eastAsia="黑体" w:cs="宋体"/>
                <w:color w:val="000000"/>
                <w:kern w:val="0"/>
                <w:sz w:val="22"/>
              </w:rPr>
            </w:pPr>
          </w:p>
        </w:tc>
        <w:tc>
          <w:tcPr>
            <w:tcW w:w="1440" w:type="dxa"/>
            <w:vMerge w:val="continue"/>
            <w:noWrap w:val="0"/>
            <w:vAlign w:val="center"/>
          </w:tcPr>
          <w:p>
            <w:pPr>
              <w:widowControl/>
              <w:jc w:val="left"/>
              <w:rPr>
                <w:rFonts w:ascii="黑体" w:hAnsi="宋体" w:eastAsia="黑体" w:cs="宋体"/>
                <w:color w:val="000000"/>
                <w:kern w:val="0"/>
                <w:sz w:val="22"/>
              </w:rPr>
            </w:pPr>
          </w:p>
        </w:tc>
        <w:tc>
          <w:tcPr>
            <w:tcW w:w="1080" w:type="dxa"/>
            <w:vMerge w:val="continue"/>
            <w:noWrap w:val="0"/>
            <w:vAlign w:val="center"/>
          </w:tcPr>
          <w:p>
            <w:pPr>
              <w:widowControl/>
              <w:jc w:val="left"/>
              <w:rPr>
                <w:rFonts w:ascii="黑体" w:hAnsi="宋体" w:eastAsia="黑体" w:cs="宋体"/>
                <w:color w:val="000000"/>
                <w:kern w:val="0"/>
                <w:sz w:val="22"/>
              </w:rPr>
            </w:pPr>
          </w:p>
        </w:tc>
        <w:tc>
          <w:tcPr>
            <w:tcW w:w="2756" w:type="dxa"/>
            <w:vMerge w:val="continue"/>
            <w:noWrap w:val="0"/>
            <w:vAlign w:val="center"/>
          </w:tcPr>
          <w:p>
            <w:pPr>
              <w:widowControl/>
              <w:jc w:val="left"/>
              <w:rPr>
                <w:rFonts w:ascii="黑体" w:hAnsi="宋体" w:eastAsia="黑体" w:cs="宋体"/>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noWrap w:val="0"/>
            <w:vAlign w:val="center"/>
          </w:tcPr>
          <w:p>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公共</w:t>
            </w:r>
          </w:p>
          <w:p>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pPr>
              <w:widowControl/>
              <w:rPr>
                <w:rFonts w:hint="eastAsia" w:ascii="仿宋_GB2312" w:hAnsi="宋体" w:eastAsia="仿宋_GB2312"/>
                <w:color w:val="000000"/>
                <w:sz w:val="18"/>
                <w:szCs w:val="18"/>
              </w:rPr>
            </w:pPr>
            <w:r>
              <w:rPr>
                <w:rFonts w:ascii="仿宋_GB2312" w:hAnsi="宋体" w:eastAsia="仿宋_GB2312"/>
                <w:color w:val="000000"/>
                <w:sz w:val="18"/>
                <w:szCs w:val="18"/>
              </w:rPr>
              <w:t>■纸质载体</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■公开查阅点</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0"/>
            <w:vAlign w:val="center"/>
          </w:tcPr>
          <w:p>
            <w:pPr>
              <w:jc w:val="left"/>
              <w:rPr>
                <w:rFonts w:ascii="仿宋_GB2312" w:hAnsi="宋体" w:eastAsia="仿宋_GB2312"/>
                <w:color w:val="000000"/>
                <w:sz w:val="18"/>
                <w:szCs w:val="18"/>
              </w:rPr>
            </w:pP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城乡规划事项的意见征集、咨询、信访等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pPr>
              <w:widowControl/>
              <w:jc w:val="left"/>
              <w:rPr>
                <w:rFonts w:ascii="仿宋_GB2312" w:hAnsi="宋体" w:eastAsia="仿宋_GB2312"/>
                <w:color w:val="000000"/>
                <w:sz w:val="18"/>
                <w:szCs w:val="18"/>
              </w:rPr>
            </w:pPr>
            <w:r>
              <w:rPr>
                <w:rFonts w:ascii="仿宋_GB2312" w:hAnsi="宋体" w:eastAsia="仿宋_GB2312"/>
                <w:color w:val="000000"/>
                <w:sz w:val="18"/>
                <w:szCs w:val="18"/>
              </w:rPr>
              <w:t xml:space="preserve">■广播电视 </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■公开查阅点■政府服务中心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noWrap w:val="0"/>
            <w:vAlign w:val="center"/>
          </w:tcPr>
          <w:p>
            <w:pPr>
              <w:widowControl/>
              <w:jc w:val="left"/>
              <w:rPr>
                <w:rFonts w:ascii="仿宋_GB2312" w:hAnsi="宋体" w:eastAsia="仿宋_GB2312"/>
                <w:color w:val="000000"/>
                <w:sz w:val="18"/>
                <w:szCs w:val="18"/>
              </w:rPr>
            </w:pP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行政许可的事项、依据、条件、数量、程序、期限以及申请行政许可需要提交的全部材料目录</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■公开查阅点■政府服务中心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noWrap w:val="0"/>
            <w:vAlign w:val="center"/>
          </w:tcPr>
          <w:p>
            <w:pPr>
              <w:jc w:val="left"/>
              <w:rPr>
                <w:rFonts w:hint="eastAsia"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城市、镇总体规划及同级的土地利用规划</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■两微一端</w:t>
            </w:r>
          </w:p>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■公开查阅点</w:t>
            </w:r>
            <w:r>
              <w:rPr>
                <w:rFonts w:hint="eastAsia" w:ascii="仿宋_GB2312" w:hAnsi="宋体" w:eastAsia="仿宋_GB2312"/>
                <w:color w:val="000000"/>
                <w:sz w:val="18"/>
                <w:szCs w:val="18"/>
              </w:rPr>
              <w:br w:type="textWrapping"/>
            </w:r>
            <w:r>
              <w:rPr>
                <w:rFonts w:ascii="仿宋_GB2312" w:hAnsi="宋体" w:eastAsia="仿宋_GB2312"/>
                <w:color w:val="000000"/>
                <w:sz w:val="18"/>
                <w:szCs w:val="18"/>
              </w:rPr>
              <w:t>■政府服务中心</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hint="eastAsia"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noWrap w:val="0"/>
            <w:vAlign w:val="center"/>
          </w:tcPr>
          <w:p>
            <w:pPr>
              <w:jc w:val="center"/>
              <w:rPr>
                <w:rFonts w:ascii="仿宋_GB2312" w:hAnsi="宋体" w:eastAsia="仿宋_GB2312"/>
                <w:color w:val="000000"/>
                <w:sz w:val="18"/>
                <w:szCs w:val="18"/>
              </w:rPr>
            </w:pPr>
          </w:p>
        </w:tc>
        <w:tc>
          <w:tcPr>
            <w:tcW w:w="108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乡规划及同级的土地利用规划</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■两微一端</w:t>
            </w:r>
          </w:p>
          <w:p>
            <w:pPr>
              <w:widowControl/>
              <w:rPr>
                <w:rFonts w:hint="eastAsia" w:ascii="仿宋_GB2312" w:hAnsi="宋体" w:eastAsia="仿宋_GB2312"/>
                <w:color w:val="000000"/>
                <w:sz w:val="18"/>
                <w:szCs w:val="18"/>
              </w:rPr>
            </w:pPr>
            <w:r>
              <w:rPr>
                <w:rFonts w:ascii="仿宋_GB2312" w:hAnsi="宋体" w:eastAsia="仿宋_GB2312"/>
                <w:color w:val="000000"/>
                <w:sz w:val="18"/>
                <w:szCs w:val="18"/>
              </w:rPr>
              <w:t>■公开查阅点■政府服务中心</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hint="eastAsia"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noWrap w:val="0"/>
            <w:vAlign w:val="center"/>
          </w:tcPr>
          <w:p>
            <w:pPr>
              <w:widowControl/>
              <w:jc w:val="center"/>
              <w:rPr>
                <w:rFonts w:hint="eastAsia" w:ascii="仿宋_GB2312" w:hAnsi="宋体" w:eastAsia="仿宋_GB2312"/>
                <w:color w:val="000000"/>
                <w:sz w:val="18"/>
                <w:szCs w:val="18"/>
              </w:rPr>
            </w:pPr>
          </w:p>
        </w:tc>
        <w:tc>
          <w:tcPr>
            <w:tcW w:w="1080" w:type="dxa"/>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城市、镇详细规划</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■公开查阅点■政府服务中心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■两微一端</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■公开查阅点■政府服务中心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用地预审与</w:t>
            </w:r>
            <w:r>
              <w:rPr>
                <w:rFonts w:ascii="仿宋_GB2312" w:hAnsi="宋体" w:eastAsia="仿宋_GB2312"/>
                <w:color w:val="000000"/>
                <w:sz w:val="18"/>
                <w:szCs w:val="18"/>
              </w:rPr>
              <w:t>建设项目选址意见书</w:t>
            </w:r>
          </w:p>
        </w:tc>
        <w:tc>
          <w:tcPr>
            <w:tcW w:w="1800" w:type="dxa"/>
            <w:noWrap w:val="0"/>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noWrap w:val="0"/>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pPr>
              <w:widowControl/>
              <w:rPr>
                <w:rFonts w:ascii="仿宋_GB2312" w:hAnsi="宋体" w:eastAsia="仿宋_GB2312"/>
                <w:color w:val="000000"/>
                <w:sz w:val="18"/>
                <w:szCs w:val="18"/>
              </w:rPr>
            </w:pPr>
            <w:r>
              <w:rPr>
                <w:rFonts w:ascii="仿宋_GB2312" w:hAnsi="宋体" w:eastAsia="仿宋_GB2312"/>
                <w:color w:val="000000"/>
                <w:sz w:val="18"/>
                <w:szCs w:val="18"/>
              </w:rPr>
              <w:t>■政府服务中心</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noWrap w:val="0"/>
            <w:vAlign w:val="center"/>
          </w:tcPr>
          <w:p>
            <w:pPr>
              <w:widowControl/>
              <w:jc w:val="center"/>
              <w:rPr>
                <w:rFonts w:ascii="仿宋_GB2312" w:hAnsi="宋体" w:eastAsia="仿宋_GB2312"/>
                <w:color w:val="000000"/>
                <w:sz w:val="18"/>
                <w:szCs w:val="18"/>
              </w:rPr>
            </w:pPr>
          </w:p>
        </w:tc>
        <w:tc>
          <w:tcPr>
            <w:tcW w:w="108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建设用地规划许可证</w:t>
            </w:r>
          </w:p>
        </w:tc>
        <w:tc>
          <w:tcPr>
            <w:tcW w:w="1800"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spacing w:line="260" w:lineRule="exact"/>
              <w:rPr>
                <w:rFonts w:hint="eastAsia"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■两微一端</w:t>
            </w:r>
            <w:r>
              <w:rPr>
                <w:rFonts w:hint="eastAsia" w:ascii="仿宋_GB2312" w:hAnsi="宋体" w:eastAsia="仿宋_GB2312"/>
                <w:color w:val="000000"/>
                <w:sz w:val="18"/>
                <w:szCs w:val="18"/>
              </w:rPr>
              <w:t xml:space="preserve"> </w:t>
            </w: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noWrap w:val="0"/>
            <w:vAlign w:val="center"/>
          </w:tcPr>
          <w:p>
            <w:pPr>
              <w:widowControl/>
              <w:jc w:val="center"/>
              <w:rPr>
                <w:rFonts w:ascii="仿宋_GB2312" w:hAnsi="宋体" w:eastAsia="仿宋_GB2312"/>
                <w:color w:val="000000"/>
                <w:sz w:val="18"/>
                <w:szCs w:val="18"/>
              </w:rPr>
            </w:pPr>
          </w:p>
        </w:tc>
        <w:tc>
          <w:tcPr>
            <w:tcW w:w="108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建设工程规划许可证</w:t>
            </w:r>
          </w:p>
        </w:tc>
        <w:tc>
          <w:tcPr>
            <w:tcW w:w="1800"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noWrap w:val="0"/>
            <w:vAlign w:val="center"/>
          </w:tcPr>
          <w:p>
            <w:pPr>
              <w:widowControl/>
              <w:spacing w:line="240" w:lineRule="exac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乡村建设规划许可证</w:t>
            </w:r>
          </w:p>
        </w:tc>
        <w:tc>
          <w:tcPr>
            <w:tcW w:w="1800" w:type="dxa"/>
            <w:noWrap w:val="0"/>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p>
        </w:tc>
        <w:tc>
          <w:tcPr>
            <w:tcW w:w="2160" w:type="dxa"/>
            <w:noWrap w:val="0"/>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pPr>
              <w:widowControl/>
              <w:rPr>
                <w:rFonts w:ascii="仿宋_GB2312" w:hAnsi="宋体" w:eastAsia="仿宋_GB2312"/>
                <w:color w:val="000000"/>
                <w:sz w:val="18"/>
                <w:szCs w:val="18"/>
              </w:rPr>
            </w:pPr>
            <w:r>
              <w:rPr>
                <w:rFonts w:ascii="仿宋_GB2312" w:hAnsi="宋体" w:eastAsia="仿宋_GB2312"/>
                <w:color w:val="000000"/>
                <w:sz w:val="18"/>
                <w:szCs w:val="18"/>
              </w:rPr>
              <w:t>■政府服务中心</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行政处罚基本信息</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执法主体、执法人员姓名及证件编号、职责、权限、查处依据、工作程序、救济渠道和随机抽查事项清单等信息</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《关于全面推行行政执法公示制度执法全过程记录制度重大执法决定法制审核制度的指导意见》</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■政府服务中心</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事后公开</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作出的行政处罚决定信息（法律、行政法规另有规定的除外）</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《关于全面推行行政执法公示制度执法全过程记录制度重大执法决定法制审核制度的指导意见》</w:t>
            </w:r>
          </w:p>
        </w:tc>
        <w:tc>
          <w:tcPr>
            <w:tcW w:w="144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7个工作日</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noWrap w:val="0"/>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■政府服务中心</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90148"/>
    <w:rsid w:val="1FB90148"/>
    <w:rsid w:val="5CC6708E"/>
    <w:rsid w:val="7ACF1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2020-08-31T08:59:00Z</dcterms:created>
  <dc:creator>张伟川</dc:creator>
  <cp:lastModifiedBy>张伟川</cp:lastModifiedBy>
  <dcterms:modified xsi:type="dcterms:W3CDTF">2020-08-31T09:03:29Z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